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D2" w:rsidRPr="00A72015" w:rsidRDefault="00BF315D" w:rsidP="00A72015">
      <w:pPr>
        <w:spacing w:after="0" w:line="240" w:lineRule="auto"/>
        <w:rPr>
          <w:rFonts w:ascii="Times New Roman" w:hAnsi="Times New Roman" w:cs="Times New Roman"/>
          <w:b/>
          <w:sz w:val="24"/>
          <w:szCs w:val="24"/>
        </w:rPr>
      </w:pPr>
      <w:r>
        <w:rPr>
          <w:rFonts w:ascii="Times New Roman" w:hAnsi="Times New Roman" w:cs="Times New Roman"/>
          <w:b/>
          <w:sz w:val="24"/>
          <w:szCs w:val="24"/>
        </w:rPr>
        <w:t>УДК</w:t>
      </w:r>
      <w:r w:rsidR="00601137" w:rsidRPr="00A72015">
        <w:rPr>
          <w:rFonts w:ascii="Times New Roman" w:hAnsi="Times New Roman" w:cs="Times New Roman"/>
          <w:b/>
          <w:sz w:val="24"/>
          <w:szCs w:val="24"/>
        </w:rPr>
        <w:t xml:space="preserve"> 796.075.2</w:t>
      </w:r>
    </w:p>
    <w:p w:rsidR="003D5CCB" w:rsidRDefault="003D5CCB" w:rsidP="00A72015">
      <w:pPr>
        <w:spacing w:after="0" w:line="240" w:lineRule="auto"/>
        <w:rPr>
          <w:rFonts w:ascii="Times New Roman" w:hAnsi="Times New Roman" w:cs="Times New Roman"/>
          <w:b/>
          <w:sz w:val="24"/>
          <w:szCs w:val="24"/>
        </w:rPr>
      </w:pPr>
    </w:p>
    <w:p w:rsidR="00BF315D" w:rsidRPr="00D36127" w:rsidRDefault="00BF315D" w:rsidP="00BF315D">
      <w:pPr>
        <w:spacing w:after="0" w:line="240" w:lineRule="auto"/>
        <w:ind w:firstLine="709"/>
        <w:rPr>
          <w:rFonts w:ascii="Times New Roman" w:eastAsia="Calibri" w:hAnsi="Times New Roman" w:cs="Times New Roman"/>
          <w:b/>
          <w:sz w:val="24"/>
          <w:szCs w:val="24"/>
        </w:rPr>
      </w:pPr>
      <w:r w:rsidRPr="00D36127">
        <w:rPr>
          <w:rFonts w:ascii="Times New Roman" w:eastAsia="Calibri" w:hAnsi="Times New Roman" w:cs="Times New Roman"/>
          <w:b/>
          <w:sz w:val="24"/>
          <w:szCs w:val="24"/>
        </w:rPr>
        <w:t xml:space="preserve">Поступила в редакцию / Received </w:t>
      </w:r>
      <w:r w:rsidR="00543E0E">
        <w:rPr>
          <w:rFonts w:ascii="Times New Roman" w:hAnsi="Times New Roman"/>
          <w:b/>
          <w:sz w:val="24"/>
          <w:szCs w:val="24"/>
        </w:rPr>
        <w:t>07</w:t>
      </w:r>
      <w:r w:rsidRPr="00D36127">
        <w:rPr>
          <w:rFonts w:ascii="Times New Roman" w:eastAsia="Calibri" w:hAnsi="Times New Roman" w:cs="Times New Roman"/>
          <w:b/>
          <w:sz w:val="24"/>
          <w:szCs w:val="24"/>
        </w:rPr>
        <w:t>.12.2025</w:t>
      </w:r>
    </w:p>
    <w:p w:rsidR="00BF315D" w:rsidRPr="00D36127" w:rsidRDefault="00BF315D" w:rsidP="00BF315D">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После доработки / Revision </w:t>
      </w:r>
      <w:r w:rsidR="00543E0E">
        <w:rPr>
          <w:rFonts w:ascii="Times New Roman" w:hAnsi="Times New Roman"/>
          <w:b/>
          <w:sz w:val="24"/>
          <w:szCs w:val="24"/>
        </w:rPr>
        <w:t>12</w:t>
      </w:r>
      <w:r w:rsidRPr="00D36127">
        <w:rPr>
          <w:rFonts w:ascii="Times New Roman" w:eastAsia="Calibri" w:hAnsi="Times New Roman" w:cs="Times New Roman"/>
          <w:b/>
          <w:sz w:val="24"/>
          <w:szCs w:val="24"/>
        </w:rPr>
        <w:t>.01.2026</w:t>
      </w:r>
    </w:p>
    <w:p w:rsidR="00BF315D" w:rsidRDefault="00BF315D" w:rsidP="00BF315D">
      <w:pPr>
        <w:spacing w:after="0" w:line="240" w:lineRule="auto"/>
        <w:ind w:firstLine="709"/>
        <w:rPr>
          <w:rFonts w:ascii="Times New Roman" w:eastAsia="Calibri" w:hAnsi="Times New Roman" w:cs="Times New Roman"/>
          <w:b/>
          <w:sz w:val="24"/>
          <w:szCs w:val="24"/>
        </w:rPr>
      </w:pPr>
      <w:r w:rsidRPr="00D36127">
        <w:rPr>
          <w:rFonts w:ascii="Times New Roman" w:eastAsia="Calibri" w:hAnsi="Times New Roman" w:cs="Times New Roman"/>
          <w:b/>
          <w:sz w:val="24"/>
          <w:szCs w:val="24"/>
        </w:rPr>
        <w:t xml:space="preserve">Принята к публикации / Accepted </w:t>
      </w:r>
      <w:r w:rsidR="00543E0E">
        <w:rPr>
          <w:rFonts w:ascii="Times New Roman" w:hAnsi="Times New Roman"/>
          <w:b/>
          <w:sz w:val="24"/>
          <w:szCs w:val="24"/>
        </w:rPr>
        <w:t>23</w:t>
      </w:r>
      <w:r w:rsidRPr="00D36127">
        <w:rPr>
          <w:rFonts w:ascii="Times New Roman" w:eastAsia="Calibri" w:hAnsi="Times New Roman" w:cs="Times New Roman"/>
          <w:b/>
          <w:sz w:val="24"/>
          <w:szCs w:val="24"/>
        </w:rPr>
        <w:t xml:space="preserve">.01.2026 </w:t>
      </w:r>
    </w:p>
    <w:p w:rsidR="00BF315D" w:rsidRDefault="00BF315D" w:rsidP="007338BB">
      <w:pPr>
        <w:spacing w:after="0" w:line="240" w:lineRule="auto"/>
        <w:ind w:firstLine="709"/>
        <w:rPr>
          <w:rFonts w:ascii="Times New Roman" w:eastAsia="Calibri" w:hAnsi="Times New Roman" w:cs="Times New Roman"/>
          <w:b/>
          <w:sz w:val="24"/>
          <w:szCs w:val="24"/>
        </w:rPr>
      </w:pPr>
    </w:p>
    <w:p w:rsidR="004A70DC" w:rsidRPr="00A72015" w:rsidRDefault="00543E0E" w:rsidP="007338BB">
      <w:pPr>
        <w:spacing w:after="0" w:line="240" w:lineRule="auto"/>
        <w:ind w:firstLine="709"/>
        <w:rPr>
          <w:rFonts w:ascii="Times New Roman" w:hAnsi="Times New Roman" w:cs="Times New Roman"/>
          <w:b/>
          <w:caps/>
          <w:sz w:val="24"/>
          <w:szCs w:val="24"/>
        </w:rPr>
      </w:pPr>
      <w:r w:rsidRPr="00A72015">
        <w:rPr>
          <w:rFonts w:ascii="Times New Roman" w:hAnsi="Times New Roman" w:cs="Times New Roman"/>
          <w:b/>
          <w:sz w:val="24"/>
          <w:szCs w:val="24"/>
        </w:rPr>
        <w:t xml:space="preserve">Анализ продвижения платежных систем через спортивные организации и события </w:t>
      </w:r>
      <w:r w:rsidR="000A2FDD">
        <w:rPr>
          <w:rFonts w:ascii="Times New Roman" w:hAnsi="Times New Roman" w:cs="Times New Roman"/>
          <w:b/>
          <w:sz w:val="24"/>
          <w:szCs w:val="24"/>
        </w:rPr>
        <w:t>(</w:t>
      </w:r>
      <w:r w:rsidRPr="00A72015">
        <w:rPr>
          <w:rFonts w:ascii="Times New Roman" w:hAnsi="Times New Roman" w:cs="Times New Roman"/>
          <w:b/>
          <w:sz w:val="24"/>
          <w:szCs w:val="24"/>
        </w:rPr>
        <w:t>на примере платежной системы «МИР»</w:t>
      </w:r>
      <w:r w:rsidR="000A2FDD">
        <w:rPr>
          <w:rFonts w:ascii="Times New Roman" w:hAnsi="Times New Roman" w:cs="Times New Roman"/>
          <w:b/>
          <w:sz w:val="24"/>
          <w:szCs w:val="24"/>
        </w:rPr>
        <w:t>)</w:t>
      </w:r>
    </w:p>
    <w:p w:rsidR="00601137" w:rsidRPr="00A72015" w:rsidRDefault="000A2FDD" w:rsidP="007338BB">
      <w:pPr>
        <w:spacing w:after="0" w:line="240" w:lineRule="auto"/>
        <w:ind w:firstLine="709"/>
        <w:rPr>
          <w:rFonts w:ascii="Times New Roman" w:hAnsi="Times New Roman" w:cs="Times New Roman"/>
          <w:b/>
          <w:sz w:val="24"/>
          <w:szCs w:val="24"/>
          <w:lang w:val="en-US"/>
        </w:rPr>
      </w:pPr>
      <w:r w:rsidRPr="000A2FDD">
        <w:rPr>
          <w:rFonts w:ascii="Times New Roman" w:hAnsi="Times New Roman" w:cs="Times New Roman"/>
          <w:b/>
          <w:sz w:val="24"/>
          <w:szCs w:val="24"/>
          <w:lang w:val="en-US"/>
        </w:rPr>
        <w:t>Analysis of the Promotion of Payment Systems Through Sports Organizations and Events (Using the MIR Payment System as an Example)</w:t>
      </w:r>
    </w:p>
    <w:p w:rsidR="003D5CCB" w:rsidRPr="00A72015" w:rsidRDefault="003D5CCB" w:rsidP="007338BB">
      <w:pPr>
        <w:spacing w:after="0" w:line="240" w:lineRule="auto"/>
        <w:ind w:firstLine="709"/>
        <w:rPr>
          <w:rFonts w:ascii="Times New Roman" w:hAnsi="Times New Roman" w:cs="Times New Roman"/>
          <w:b/>
          <w:sz w:val="24"/>
          <w:szCs w:val="24"/>
          <w:lang w:val="en-US"/>
        </w:rPr>
      </w:pPr>
    </w:p>
    <w:p w:rsidR="00601137" w:rsidRPr="00A72015" w:rsidRDefault="00601137" w:rsidP="007338BB">
      <w:pPr>
        <w:spacing w:after="0" w:line="240" w:lineRule="auto"/>
        <w:ind w:firstLine="709"/>
        <w:rPr>
          <w:rFonts w:ascii="Times New Roman" w:hAnsi="Times New Roman" w:cs="Times New Roman"/>
          <w:sz w:val="24"/>
          <w:szCs w:val="24"/>
        </w:rPr>
      </w:pPr>
      <w:r w:rsidRPr="00A72015">
        <w:rPr>
          <w:rFonts w:ascii="Times New Roman" w:hAnsi="Times New Roman" w:cs="Times New Roman"/>
          <w:b/>
          <w:sz w:val="24"/>
          <w:szCs w:val="24"/>
        </w:rPr>
        <w:t>Гореликов Валерий Афанасьевич</w:t>
      </w:r>
      <w:r w:rsidRPr="00A72015">
        <w:rPr>
          <w:rFonts w:ascii="Times New Roman" w:hAnsi="Times New Roman" w:cs="Times New Roman"/>
          <w:sz w:val="24"/>
          <w:szCs w:val="24"/>
        </w:rPr>
        <w:t xml:space="preserve">, доцент кафедры спортивного маркетинга, Московский финансово-промышленный университет «Синергия»; Москва, Россия, Измайловский вал, д. 2 </w:t>
      </w:r>
    </w:p>
    <w:p w:rsidR="000624BE" w:rsidRPr="00A72015" w:rsidRDefault="00601137" w:rsidP="007338BB">
      <w:pPr>
        <w:spacing w:after="0" w:line="240" w:lineRule="auto"/>
        <w:ind w:firstLine="709"/>
        <w:rPr>
          <w:rFonts w:ascii="Times New Roman" w:hAnsi="Times New Roman" w:cs="Times New Roman"/>
          <w:sz w:val="24"/>
          <w:szCs w:val="24"/>
          <w:lang w:val="en-US"/>
        </w:rPr>
      </w:pPr>
      <w:r w:rsidRPr="00A72015">
        <w:rPr>
          <w:rFonts w:ascii="Times New Roman" w:hAnsi="Times New Roman" w:cs="Times New Roman"/>
          <w:b/>
          <w:sz w:val="24"/>
          <w:szCs w:val="24"/>
          <w:lang w:val="en-US"/>
        </w:rPr>
        <w:t>Gorelikov Valery Afanasyevich,</w:t>
      </w:r>
      <w:r w:rsidRPr="00A72015">
        <w:rPr>
          <w:rFonts w:ascii="Times New Roman" w:hAnsi="Times New Roman" w:cs="Times New Roman"/>
          <w:sz w:val="24"/>
          <w:szCs w:val="24"/>
          <w:lang w:val="en-US"/>
        </w:rPr>
        <w:t xml:space="preserve"> Associate Professor, Sports Marketing Department, Moscow Financial and Industrial University «Synergy», Director; 2 Izmailovsky Val, Moscow, Russia </w:t>
      </w:r>
    </w:p>
    <w:p w:rsidR="000624BE" w:rsidRPr="00A72015" w:rsidRDefault="000624BE" w:rsidP="007338BB">
      <w:pPr>
        <w:spacing w:after="0" w:line="240" w:lineRule="auto"/>
        <w:ind w:firstLine="709"/>
        <w:rPr>
          <w:rFonts w:ascii="Times New Roman" w:hAnsi="Times New Roman" w:cs="Times New Roman"/>
          <w:sz w:val="24"/>
          <w:szCs w:val="24"/>
          <w:lang w:val="en-US"/>
        </w:rPr>
      </w:pPr>
      <w:r w:rsidRPr="00A72015">
        <w:rPr>
          <w:rFonts w:ascii="Times New Roman" w:hAnsi="Times New Roman" w:cs="Times New Roman"/>
          <w:sz w:val="24"/>
          <w:szCs w:val="24"/>
          <w:lang w:val="en-US"/>
        </w:rPr>
        <w:t>v_gorelikov@mail.ru</w:t>
      </w:r>
      <w:r w:rsidR="00601137" w:rsidRPr="00A72015">
        <w:rPr>
          <w:rFonts w:ascii="Times New Roman" w:hAnsi="Times New Roman" w:cs="Times New Roman"/>
          <w:sz w:val="24"/>
          <w:szCs w:val="24"/>
          <w:lang w:val="en-US"/>
        </w:rPr>
        <w:t xml:space="preserve"> </w:t>
      </w:r>
    </w:p>
    <w:p w:rsidR="00601137" w:rsidRPr="00A72015" w:rsidRDefault="00DD6234" w:rsidP="007338BB">
      <w:pPr>
        <w:spacing w:after="0" w:line="240" w:lineRule="auto"/>
        <w:ind w:firstLine="709"/>
        <w:rPr>
          <w:rFonts w:ascii="Times New Roman" w:hAnsi="Times New Roman" w:cs="Times New Roman"/>
          <w:sz w:val="24"/>
          <w:szCs w:val="24"/>
          <w:lang w:val="en-US"/>
        </w:rPr>
      </w:pPr>
      <w:r w:rsidRPr="00A72015">
        <w:rPr>
          <w:rFonts w:ascii="Times New Roman" w:hAnsi="Times New Roman" w:cs="Times New Roman"/>
          <w:sz w:val="24"/>
          <w:szCs w:val="24"/>
          <w:lang w:val="en-US"/>
        </w:rPr>
        <w:t>https://orcid.org/0000000186763030</w:t>
      </w:r>
    </w:p>
    <w:p w:rsidR="000624BE" w:rsidRPr="00A72015" w:rsidRDefault="000624BE" w:rsidP="007338BB">
      <w:pPr>
        <w:spacing w:after="0" w:line="240" w:lineRule="auto"/>
        <w:ind w:firstLine="709"/>
        <w:rPr>
          <w:rFonts w:ascii="Times New Roman" w:hAnsi="Times New Roman" w:cs="Times New Roman"/>
          <w:b/>
          <w:bCs/>
          <w:sz w:val="24"/>
          <w:szCs w:val="24"/>
          <w:lang w:val="en-US"/>
        </w:rPr>
      </w:pPr>
    </w:p>
    <w:p w:rsidR="00F72262" w:rsidRPr="00A72015" w:rsidRDefault="000624BE" w:rsidP="007338BB">
      <w:pPr>
        <w:spacing w:after="0" w:line="240" w:lineRule="auto"/>
        <w:ind w:firstLine="709"/>
        <w:rPr>
          <w:rFonts w:ascii="Times New Roman" w:hAnsi="Times New Roman" w:cs="Times New Roman"/>
          <w:sz w:val="24"/>
          <w:szCs w:val="24"/>
          <w:lang w:val="en-US"/>
        </w:rPr>
      </w:pPr>
      <w:r w:rsidRPr="00A72015">
        <w:rPr>
          <w:rFonts w:ascii="Times New Roman" w:hAnsi="Times New Roman" w:cs="Times New Roman"/>
          <w:b/>
          <w:bCs/>
          <w:sz w:val="24"/>
          <w:szCs w:val="24"/>
        </w:rPr>
        <w:t>Савула Алексей Андреевич</w:t>
      </w:r>
      <w:r w:rsidR="0007389F" w:rsidRPr="00A72015">
        <w:rPr>
          <w:rFonts w:ascii="Times New Roman" w:hAnsi="Times New Roman" w:cs="Times New Roman"/>
          <w:b/>
          <w:bCs/>
          <w:sz w:val="24"/>
          <w:szCs w:val="24"/>
        </w:rPr>
        <w:t>,</w:t>
      </w:r>
      <w:r w:rsidRPr="00A72015">
        <w:rPr>
          <w:rFonts w:ascii="Times New Roman" w:hAnsi="Times New Roman" w:cs="Times New Roman"/>
          <w:b/>
          <w:bCs/>
          <w:sz w:val="24"/>
          <w:szCs w:val="24"/>
        </w:rPr>
        <w:t xml:space="preserve"> </w:t>
      </w:r>
      <w:r w:rsidR="0007389F" w:rsidRPr="00A72015">
        <w:rPr>
          <w:rFonts w:ascii="Times New Roman" w:hAnsi="Times New Roman" w:cs="Times New Roman"/>
          <w:sz w:val="24"/>
          <w:szCs w:val="24"/>
        </w:rPr>
        <w:t>р</w:t>
      </w:r>
      <w:r w:rsidRPr="00A72015">
        <w:rPr>
          <w:rFonts w:ascii="Times New Roman" w:hAnsi="Times New Roman" w:cs="Times New Roman"/>
          <w:sz w:val="24"/>
          <w:szCs w:val="24"/>
        </w:rPr>
        <w:t>уководитель центра спортивного маркетинга</w:t>
      </w:r>
      <w:r w:rsidR="00F72262" w:rsidRPr="00A72015">
        <w:rPr>
          <w:rFonts w:ascii="Times New Roman" w:hAnsi="Times New Roman" w:cs="Times New Roman"/>
          <w:sz w:val="24"/>
          <w:szCs w:val="24"/>
        </w:rPr>
        <w:t>,</w:t>
      </w:r>
      <w:r w:rsidRPr="00A72015">
        <w:rPr>
          <w:rFonts w:ascii="Times New Roman" w:hAnsi="Times New Roman" w:cs="Times New Roman"/>
          <w:sz w:val="24"/>
          <w:szCs w:val="24"/>
        </w:rPr>
        <w:t xml:space="preserve"> АО НСПК</w:t>
      </w:r>
      <w:r w:rsidR="00F72262" w:rsidRPr="00A72015">
        <w:rPr>
          <w:rFonts w:ascii="Times New Roman" w:hAnsi="Times New Roman" w:cs="Times New Roman"/>
          <w:sz w:val="24"/>
          <w:szCs w:val="24"/>
        </w:rPr>
        <w:t xml:space="preserve"> Москва, ул. Большая</w:t>
      </w:r>
      <w:r w:rsidR="00F72262" w:rsidRPr="00A72015">
        <w:rPr>
          <w:rFonts w:ascii="Times New Roman" w:hAnsi="Times New Roman" w:cs="Times New Roman"/>
          <w:sz w:val="24"/>
          <w:szCs w:val="24"/>
          <w:lang w:val="en-US"/>
        </w:rPr>
        <w:t xml:space="preserve"> </w:t>
      </w:r>
      <w:r w:rsidR="00F72262" w:rsidRPr="00A72015">
        <w:rPr>
          <w:rFonts w:ascii="Times New Roman" w:hAnsi="Times New Roman" w:cs="Times New Roman"/>
          <w:sz w:val="24"/>
          <w:szCs w:val="24"/>
        </w:rPr>
        <w:t>Татарская</w:t>
      </w:r>
      <w:r w:rsidR="00F72262" w:rsidRPr="00A72015">
        <w:rPr>
          <w:rFonts w:ascii="Times New Roman" w:hAnsi="Times New Roman" w:cs="Times New Roman"/>
          <w:sz w:val="24"/>
          <w:szCs w:val="24"/>
          <w:lang w:val="en-US"/>
        </w:rPr>
        <w:t xml:space="preserve">, </w:t>
      </w:r>
      <w:r w:rsidR="00F72262" w:rsidRPr="00A72015">
        <w:rPr>
          <w:rFonts w:ascii="Times New Roman" w:hAnsi="Times New Roman" w:cs="Times New Roman"/>
          <w:sz w:val="24"/>
          <w:szCs w:val="24"/>
        </w:rPr>
        <w:t>д</w:t>
      </w:r>
      <w:r w:rsidR="00F72262" w:rsidRPr="00A72015">
        <w:rPr>
          <w:rFonts w:ascii="Times New Roman" w:hAnsi="Times New Roman" w:cs="Times New Roman"/>
          <w:sz w:val="24"/>
          <w:szCs w:val="24"/>
          <w:lang w:val="en-US"/>
        </w:rPr>
        <w:t>. 11</w:t>
      </w:r>
    </w:p>
    <w:p w:rsidR="002F63AD" w:rsidRPr="00A72015" w:rsidRDefault="000624BE" w:rsidP="007338BB">
      <w:pPr>
        <w:spacing w:after="0" w:line="240" w:lineRule="auto"/>
        <w:ind w:firstLine="709"/>
        <w:rPr>
          <w:rFonts w:ascii="Times New Roman" w:hAnsi="Times New Roman" w:cs="Times New Roman"/>
          <w:sz w:val="24"/>
          <w:szCs w:val="24"/>
          <w:lang w:val="en-US"/>
        </w:rPr>
      </w:pPr>
      <w:r w:rsidRPr="00A72015">
        <w:rPr>
          <w:rFonts w:ascii="Times New Roman" w:hAnsi="Times New Roman" w:cs="Times New Roman"/>
          <w:b/>
          <w:bCs/>
          <w:sz w:val="24"/>
          <w:szCs w:val="24"/>
          <w:lang w:val="en-US"/>
        </w:rPr>
        <w:t>Savula Alexey Andreevich</w:t>
      </w:r>
      <w:r w:rsidR="00422414" w:rsidRPr="00422414">
        <w:rPr>
          <w:rFonts w:ascii="Times New Roman" w:hAnsi="Times New Roman" w:cs="Times New Roman"/>
          <w:sz w:val="24"/>
          <w:szCs w:val="24"/>
          <w:lang w:val="en-US"/>
        </w:rPr>
        <w:t xml:space="preserve">, </w:t>
      </w:r>
      <w:r w:rsidRPr="00A72015">
        <w:rPr>
          <w:rFonts w:ascii="Times New Roman" w:hAnsi="Times New Roman" w:cs="Times New Roman"/>
          <w:sz w:val="24"/>
          <w:szCs w:val="24"/>
          <w:lang w:val="en-US"/>
        </w:rPr>
        <w:t>Head of the Sports Marketing Center of National Payment Card System (NSPK)</w:t>
      </w:r>
      <w:r w:rsidR="00F72262" w:rsidRPr="00A72015">
        <w:rPr>
          <w:rFonts w:ascii="Times New Roman" w:hAnsi="Times New Roman" w:cs="Times New Roman"/>
          <w:sz w:val="24"/>
          <w:szCs w:val="24"/>
          <w:lang w:val="en-US"/>
        </w:rPr>
        <w:t>, 11 Bolshaya Tatarskaya St., Moscow, Russia</w:t>
      </w:r>
    </w:p>
    <w:p w:rsidR="000624BE" w:rsidRDefault="00422414" w:rsidP="007338BB">
      <w:pPr>
        <w:spacing w:after="0" w:line="240" w:lineRule="auto"/>
        <w:ind w:firstLine="709"/>
        <w:rPr>
          <w:rFonts w:ascii="Times New Roman" w:hAnsi="Times New Roman" w:cs="Times New Roman"/>
          <w:sz w:val="24"/>
          <w:szCs w:val="24"/>
        </w:rPr>
      </w:pPr>
      <w:hyperlink r:id="rId8" w:history="1">
        <w:r w:rsidRPr="00427313">
          <w:rPr>
            <w:rStyle w:val="a6"/>
            <w:rFonts w:ascii="Times New Roman" w:hAnsi="Times New Roman" w:cs="Times New Roman"/>
            <w:sz w:val="24"/>
            <w:szCs w:val="24"/>
            <w:lang w:val="en-US"/>
          </w:rPr>
          <w:t>aleksey</w:t>
        </w:r>
        <w:r w:rsidRPr="00427313">
          <w:rPr>
            <w:rStyle w:val="a6"/>
            <w:rFonts w:ascii="Times New Roman" w:hAnsi="Times New Roman" w:cs="Times New Roman"/>
            <w:sz w:val="24"/>
            <w:szCs w:val="24"/>
          </w:rPr>
          <w:t>.</w:t>
        </w:r>
        <w:r w:rsidRPr="00427313">
          <w:rPr>
            <w:rStyle w:val="a6"/>
            <w:rFonts w:ascii="Times New Roman" w:hAnsi="Times New Roman" w:cs="Times New Roman"/>
            <w:sz w:val="24"/>
            <w:szCs w:val="24"/>
            <w:lang w:val="en-US"/>
          </w:rPr>
          <w:t>savula</w:t>
        </w:r>
        <w:r w:rsidRPr="00427313">
          <w:rPr>
            <w:rStyle w:val="a6"/>
            <w:rFonts w:ascii="Times New Roman" w:hAnsi="Times New Roman" w:cs="Times New Roman"/>
            <w:sz w:val="24"/>
            <w:szCs w:val="24"/>
          </w:rPr>
          <w:t>27@</w:t>
        </w:r>
        <w:r w:rsidRPr="00427313">
          <w:rPr>
            <w:rStyle w:val="a6"/>
            <w:rFonts w:ascii="Times New Roman" w:hAnsi="Times New Roman" w:cs="Times New Roman"/>
            <w:sz w:val="24"/>
            <w:szCs w:val="24"/>
            <w:lang w:val="en-US"/>
          </w:rPr>
          <w:t>gmail</w:t>
        </w:r>
        <w:r w:rsidRPr="00427313">
          <w:rPr>
            <w:rStyle w:val="a6"/>
            <w:rFonts w:ascii="Times New Roman" w:hAnsi="Times New Roman" w:cs="Times New Roman"/>
            <w:sz w:val="24"/>
            <w:szCs w:val="24"/>
          </w:rPr>
          <w:t>.</w:t>
        </w:r>
        <w:r w:rsidRPr="00427313">
          <w:rPr>
            <w:rStyle w:val="a6"/>
            <w:rFonts w:ascii="Times New Roman" w:hAnsi="Times New Roman" w:cs="Times New Roman"/>
            <w:sz w:val="24"/>
            <w:szCs w:val="24"/>
            <w:lang w:val="en-US"/>
          </w:rPr>
          <w:t>com</w:t>
        </w:r>
      </w:hyperlink>
      <w:r>
        <w:rPr>
          <w:rFonts w:ascii="Times New Roman" w:hAnsi="Times New Roman" w:cs="Times New Roman"/>
          <w:sz w:val="24"/>
          <w:szCs w:val="24"/>
        </w:rPr>
        <w:t xml:space="preserve"> </w:t>
      </w:r>
    </w:p>
    <w:p w:rsidR="00422414" w:rsidRPr="00422414" w:rsidRDefault="00422414" w:rsidP="007338BB">
      <w:pPr>
        <w:spacing w:after="0" w:line="240" w:lineRule="auto"/>
        <w:ind w:firstLine="709"/>
        <w:rPr>
          <w:rFonts w:ascii="Times New Roman" w:hAnsi="Times New Roman" w:cs="Times New Roman"/>
          <w:sz w:val="24"/>
          <w:szCs w:val="24"/>
        </w:rPr>
      </w:pPr>
    </w:p>
    <w:p w:rsidR="000624BE" w:rsidRPr="00A72015" w:rsidRDefault="000624BE" w:rsidP="007338BB">
      <w:pPr>
        <w:spacing w:after="0" w:line="240" w:lineRule="auto"/>
        <w:ind w:firstLine="709"/>
        <w:rPr>
          <w:rFonts w:ascii="Times New Roman" w:hAnsi="Times New Roman" w:cs="Times New Roman"/>
          <w:bCs/>
          <w:sz w:val="24"/>
          <w:szCs w:val="24"/>
        </w:rPr>
      </w:pPr>
      <w:r w:rsidRPr="00A72015">
        <w:rPr>
          <w:rFonts w:ascii="Times New Roman" w:hAnsi="Times New Roman" w:cs="Times New Roman"/>
          <w:b/>
          <w:sz w:val="24"/>
          <w:szCs w:val="24"/>
        </w:rPr>
        <w:t>Селиверстова Мария Александровна,</w:t>
      </w:r>
      <w:r w:rsidR="00422414">
        <w:rPr>
          <w:rFonts w:ascii="Times New Roman" w:hAnsi="Times New Roman" w:cs="Times New Roman"/>
          <w:b/>
          <w:sz w:val="24"/>
          <w:szCs w:val="24"/>
        </w:rPr>
        <w:t xml:space="preserve"> </w:t>
      </w:r>
      <w:r w:rsidR="0007389F" w:rsidRPr="00A72015">
        <w:rPr>
          <w:rFonts w:ascii="Times New Roman" w:hAnsi="Times New Roman" w:cs="Times New Roman"/>
          <w:bCs/>
          <w:sz w:val="24"/>
          <w:szCs w:val="24"/>
        </w:rPr>
        <w:t>м</w:t>
      </w:r>
      <w:r w:rsidRPr="00A72015">
        <w:rPr>
          <w:rFonts w:ascii="Times New Roman" w:hAnsi="Times New Roman" w:cs="Times New Roman"/>
          <w:bCs/>
          <w:sz w:val="24"/>
          <w:szCs w:val="24"/>
        </w:rPr>
        <w:t>енеджер проектов по взаимодействию с партнерами</w:t>
      </w:r>
      <w:r w:rsidR="00F72262" w:rsidRPr="00A72015">
        <w:rPr>
          <w:rFonts w:ascii="Times New Roman" w:hAnsi="Times New Roman" w:cs="Times New Roman"/>
          <w:bCs/>
          <w:sz w:val="24"/>
          <w:szCs w:val="24"/>
        </w:rPr>
        <w:t xml:space="preserve">, Москва, </w:t>
      </w:r>
      <w:r w:rsidR="00422414">
        <w:rPr>
          <w:rFonts w:ascii="Times New Roman" w:hAnsi="Times New Roman" w:cs="Times New Roman"/>
          <w:bCs/>
          <w:sz w:val="24"/>
          <w:szCs w:val="24"/>
        </w:rPr>
        <w:t>Покровский бул., 11</w:t>
      </w:r>
      <w:r w:rsidR="00F72262" w:rsidRPr="00A72015">
        <w:rPr>
          <w:rFonts w:ascii="Times New Roman" w:hAnsi="Times New Roman" w:cs="Times New Roman"/>
          <w:bCs/>
          <w:sz w:val="24"/>
          <w:szCs w:val="24"/>
        </w:rPr>
        <w:t xml:space="preserve"> </w:t>
      </w:r>
    </w:p>
    <w:p w:rsidR="000624BE" w:rsidRPr="00A72015" w:rsidRDefault="000624BE" w:rsidP="00422414">
      <w:pPr>
        <w:spacing w:after="0" w:line="240" w:lineRule="auto"/>
        <w:ind w:firstLine="709"/>
        <w:rPr>
          <w:rFonts w:ascii="Times New Roman" w:hAnsi="Times New Roman" w:cs="Times New Roman"/>
          <w:bCs/>
          <w:sz w:val="24"/>
          <w:szCs w:val="24"/>
          <w:lang w:val="en-US"/>
        </w:rPr>
      </w:pPr>
      <w:r w:rsidRPr="00A72015">
        <w:rPr>
          <w:rFonts w:ascii="Times New Roman" w:hAnsi="Times New Roman" w:cs="Times New Roman"/>
          <w:b/>
          <w:sz w:val="24"/>
          <w:szCs w:val="24"/>
          <w:lang w:val="en-US"/>
        </w:rPr>
        <w:t>Seliverstova Maria Alexandrovna,</w:t>
      </w:r>
      <w:r w:rsidR="00422414" w:rsidRPr="00422414">
        <w:rPr>
          <w:rFonts w:ascii="Times New Roman" w:hAnsi="Times New Roman" w:cs="Times New Roman"/>
          <w:b/>
          <w:sz w:val="24"/>
          <w:szCs w:val="24"/>
          <w:lang w:val="en-US"/>
        </w:rPr>
        <w:t xml:space="preserve"> </w:t>
      </w:r>
      <w:r w:rsidR="00596439" w:rsidRPr="00596439">
        <w:rPr>
          <w:rFonts w:ascii="Times New Roman" w:hAnsi="Times New Roman" w:cs="Times New Roman"/>
          <w:bCs/>
          <w:sz w:val="24"/>
          <w:szCs w:val="24"/>
          <w:lang w:val="en-US"/>
        </w:rPr>
        <w:t>Project Manager for cooperation with partners</w:t>
      </w:r>
      <w:r w:rsidR="00F72262" w:rsidRPr="00A72015">
        <w:rPr>
          <w:rFonts w:ascii="Times New Roman" w:hAnsi="Times New Roman" w:cs="Times New Roman"/>
          <w:bCs/>
          <w:sz w:val="24"/>
          <w:szCs w:val="24"/>
          <w:lang w:val="en-US"/>
        </w:rPr>
        <w:t>, 11 Pokrovsky Boulevard, Moscow, Russia</w:t>
      </w:r>
      <w:r w:rsidRPr="00A72015">
        <w:rPr>
          <w:rFonts w:ascii="Times New Roman" w:hAnsi="Times New Roman" w:cs="Times New Roman"/>
          <w:bCs/>
          <w:sz w:val="24"/>
          <w:szCs w:val="24"/>
          <w:lang w:val="en-US"/>
        </w:rPr>
        <w:t xml:space="preserve"> </w:t>
      </w:r>
    </w:p>
    <w:p w:rsidR="0007389F" w:rsidRPr="00596439" w:rsidRDefault="00596439" w:rsidP="00A72015">
      <w:pPr>
        <w:spacing w:after="0" w:line="240" w:lineRule="auto"/>
        <w:rPr>
          <w:rFonts w:ascii="Times New Roman" w:hAnsi="Times New Roman" w:cs="Times New Roman"/>
          <w:bCs/>
          <w:sz w:val="24"/>
          <w:szCs w:val="24"/>
          <w:lang w:val="en-US"/>
        </w:rPr>
      </w:pPr>
      <w:hyperlink r:id="rId9" w:history="1">
        <w:r w:rsidRPr="00427313">
          <w:rPr>
            <w:rStyle w:val="a6"/>
            <w:rFonts w:ascii="Times New Roman" w:hAnsi="Times New Roman" w:cs="Times New Roman"/>
            <w:bCs/>
            <w:sz w:val="24"/>
            <w:szCs w:val="24"/>
            <w:lang w:val="en-US"/>
          </w:rPr>
          <w:t>maria7sport@gmail.com</w:t>
        </w:r>
      </w:hyperlink>
      <w:r w:rsidRPr="00596439">
        <w:rPr>
          <w:rFonts w:ascii="Times New Roman" w:hAnsi="Times New Roman" w:cs="Times New Roman"/>
          <w:bCs/>
          <w:sz w:val="24"/>
          <w:szCs w:val="24"/>
          <w:lang w:val="en-US"/>
        </w:rPr>
        <w:t xml:space="preserve"> </w:t>
      </w:r>
    </w:p>
    <w:p w:rsidR="000624BE" w:rsidRPr="00596439" w:rsidRDefault="00596439" w:rsidP="00A72015">
      <w:pPr>
        <w:spacing w:after="0" w:line="240" w:lineRule="auto"/>
        <w:rPr>
          <w:rFonts w:ascii="Times New Roman" w:hAnsi="Times New Roman" w:cs="Times New Roman"/>
          <w:bCs/>
          <w:sz w:val="24"/>
          <w:szCs w:val="24"/>
          <w:lang w:val="en-US"/>
        </w:rPr>
      </w:pPr>
      <w:hyperlink r:id="rId10" w:history="1">
        <w:r w:rsidRPr="00427313">
          <w:rPr>
            <w:rStyle w:val="a6"/>
            <w:rFonts w:ascii="Times New Roman" w:hAnsi="Times New Roman" w:cs="Times New Roman"/>
            <w:bCs/>
            <w:sz w:val="24"/>
            <w:szCs w:val="24"/>
            <w:lang w:val="en-US"/>
          </w:rPr>
          <w:t>https://orcid.org/0009-0005-1111-7989</w:t>
        </w:r>
      </w:hyperlink>
      <w:r w:rsidRPr="00596439">
        <w:rPr>
          <w:rFonts w:ascii="Times New Roman" w:hAnsi="Times New Roman" w:cs="Times New Roman"/>
          <w:bCs/>
          <w:sz w:val="24"/>
          <w:szCs w:val="24"/>
          <w:lang w:val="en-US"/>
        </w:rPr>
        <w:t xml:space="preserve"> </w:t>
      </w:r>
    </w:p>
    <w:p w:rsidR="00DD6234" w:rsidRPr="00A72015" w:rsidRDefault="00DD6234" w:rsidP="00A72015">
      <w:pPr>
        <w:spacing w:after="0" w:line="240" w:lineRule="auto"/>
        <w:rPr>
          <w:rFonts w:ascii="Times New Roman" w:hAnsi="Times New Roman" w:cs="Times New Roman"/>
          <w:sz w:val="24"/>
          <w:szCs w:val="24"/>
          <w:lang w:val="en-US"/>
        </w:rPr>
      </w:pPr>
    </w:p>
    <w:p w:rsidR="008E65E7" w:rsidRPr="00A72015" w:rsidRDefault="00DB7EE5" w:rsidP="00A72015">
      <w:pPr>
        <w:spacing w:after="0" w:line="240" w:lineRule="auto"/>
        <w:rPr>
          <w:rFonts w:ascii="Times New Roman" w:hAnsi="Times New Roman" w:cs="Times New Roman"/>
          <w:sz w:val="24"/>
          <w:szCs w:val="24"/>
        </w:rPr>
      </w:pPr>
      <w:r w:rsidRPr="00A72015">
        <w:rPr>
          <w:rFonts w:ascii="Times New Roman" w:hAnsi="Times New Roman" w:cs="Times New Roman"/>
          <w:sz w:val="24"/>
          <w:szCs w:val="24"/>
        </w:rPr>
        <w:t xml:space="preserve">В настоящей статье рассмотрены </w:t>
      </w:r>
      <w:r w:rsidR="00AF00B7" w:rsidRPr="00A72015">
        <w:rPr>
          <w:rFonts w:ascii="Times New Roman" w:hAnsi="Times New Roman" w:cs="Times New Roman"/>
          <w:sz w:val="24"/>
          <w:szCs w:val="24"/>
        </w:rPr>
        <w:t xml:space="preserve">вопросы продвижения платёжных систем через спортивные организации и события. Так были изучены варианты сотрудничества ведущих международных платежных систем </w:t>
      </w:r>
      <w:r w:rsidR="00AF00B7" w:rsidRPr="00A72015">
        <w:rPr>
          <w:rFonts w:ascii="Times New Roman" w:hAnsi="Times New Roman" w:cs="Times New Roman"/>
          <w:sz w:val="24"/>
          <w:szCs w:val="24"/>
          <w:lang w:val="en-US"/>
        </w:rPr>
        <w:t>Visa</w:t>
      </w:r>
      <w:r w:rsidR="00AF00B7" w:rsidRPr="00A72015">
        <w:rPr>
          <w:rFonts w:ascii="Times New Roman" w:hAnsi="Times New Roman" w:cs="Times New Roman"/>
          <w:sz w:val="24"/>
          <w:szCs w:val="24"/>
        </w:rPr>
        <w:t xml:space="preserve">, </w:t>
      </w:r>
      <w:r w:rsidR="00AF00B7" w:rsidRPr="00A72015">
        <w:rPr>
          <w:rFonts w:ascii="Times New Roman" w:hAnsi="Times New Roman" w:cs="Times New Roman"/>
          <w:sz w:val="24"/>
          <w:szCs w:val="24"/>
          <w:lang w:val="en-US"/>
        </w:rPr>
        <w:t>Mastercard</w:t>
      </w:r>
      <w:r w:rsidR="00AF00B7" w:rsidRPr="00A72015">
        <w:rPr>
          <w:rFonts w:ascii="Times New Roman" w:hAnsi="Times New Roman" w:cs="Times New Roman"/>
          <w:sz w:val="24"/>
          <w:szCs w:val="24"/>
        </w:rPr>
        <w:t xml:space="preserve"> и</w:t>
      </w:r>
      <w:r w:rsidR="008E65E7" w:rsidRPr="00A72015">
        <w:rPr>
          <w:rFonts w:ascii="Times New Roman" w:hAnsi="Times New Roman" w:cs="Times New Roman"/>
          <w:sz w:val="24"/>
          <w:szCs w:val="24"/>
        </w:rPr>
        <w:t xml:space="preserve"> национальной платежной системы</w:t>
      </w:r>
      <w:r w:rsidR="00AF00B7" w:rsidRPr="00A72015">
        <w:rPr>
          <w:rFonts w:ascii="Times New Roman" w:hAnsi="Times New Roman" w:cs="Times New Roman"/>
          <w:sz w:val="24"/>
          <w:szCs w:val="24"/>
        </w:rPr>
        <w:t xml:space="preserve"> «МИР» с крупнейшими спортивными событиями - Олимпийскими и Параолимпийскими играми, чемпионатами мира по футболу, гонками Формулы</w:t>
      </w:r>
      <w:r w:rsidR="002F63AD" w:rsidRPr="00A72015">
        <w:rPr>
          <w:rFonts w:ascii="Times New Roman" w:hAnsi="Times New Roman" w:cs="Times New Roman"/>
          <w:sz w:val="24"/>
          <w:szCs w:val="24"/>
        </w:rPr>
        <w:t>-</w:t>
      </w:r>
      <w:r w:rsidR="00AF00B7" w:rsidRPr="00A72015">
        <w:rPr>
          <w:rFonts w:ascii="Times New Roman" w:hAnsi="Times New Roman" w:cs="Times New Roman"/>
          <w:sz w:val="24"/>
          <w:szCs w:val="24"/>
        </w:rPr>
        <w:t>1, теннис</w:t>
      </w:r>
      <w:r w:rsidR="008E65E7" w:rsidRPr="00A72015">
        <w:rPr>
          <w:rFonts w:ascii="Times New Roman" w:hAnsi="Times New Roman" w:cs="Times New Roman"/>
          <w:sz w:val="24"/>
          <w:szCs w:val="24"/>
        </w:rPr>
        <w:t>ными и баскетбольными турнирами</w:t>
      </w:r>
      <w:r w:rsidR="00AF00B7" w:rsidRPr="00A72015">
        <w:rPr>
          <w:rFonts w:ascii="Times New Roman" w:hAnsi="Times New Roman" w:cs="Times New Roman"/>
          <w:sz w:val="24"/>
          <w:szCs w:val="24"/>
        </w:rPr>
        <w:t>, а также с российскими турнирами</w:t>
      </w:r>
      <w:r w:rsidR="008E65E7" w:rsidRPr="00A72015">
        <w:rPr>
          <w:rFonts w:ascii="Times New Roman" w:hAnsi="Times New Roman" w:cs="Times New Roman"/>
          <w:sz w:val="24"/>
          <w:szCs w:val="24"/>
        </w:rPr>
        <w:t xml:space="preserve"> по футболу, хоккею и фигурному катанию</w:t>
      </w:r>
      <w:r w:rsidR="00AF00B7" w:rsidRPr="00A72015">
        <w:rPr>
          <w:rFonts w:ascii="Times New Roman" w:hAnsi="Times New Roman" w:cs="Times New Roman"/>
          <w:sz w:val="24"/>
          <w:szCs w:val="24"/>
        </w:rPr>
        <w:t xml:space="preserve">. </w:t>
      </w:r>
      <w:r w:rsidRPr="00A72015">
        <w:rPr>
          <w:rFonts w:ascii="Times New Roman" w:hAnsi="Times New Roman" w:cs="Times New Roman"/>
          <w:sz w:val="24"/>
          <w:szCs w:val="24"/>
        </w:rPr>
        <w:t>Основными проблемами, которые были выделены по итогам проведенного исследования, стали проблемы с определением пр</w:t>
      </w:r>
      <w:r w:rsidR="008E65E7" w:rsidRPr="00A72015">
        <w:rPr>
          <w:rFonts w:ascii="Times New Roman" w:hAnsi="Times New Roman" w:cs="Times New Roman"/>
          <w:sz w:val="24"/>
          <w:szCs w:val="24"/>
        </w:rPr>
        <w:t>авообладателей в спорте, вопросами</w:t>
      </w:r>
      <w:r w:rsidRPr="00A72015">
        <w:rPr>
          <w:rFonts w:ascii="Times New Roman" w:hAnsi="Times New Roman" w:cs="Times New Roman"/>
          <w:sz w:val="24"/>
          <w:szCs w:val="24"/>
        </w:rPr>
        <w:t xml:space="preserve"> взаимодействия приобретателей прав с правообладателями и варианты эффективной реализации приобретенных прав. По итогам проведенного анализа были рассмотрены </w:t>
      </w:r>
      <w:r w:rsidR="00AF00B7" w:rsidRPr="00A72015">
        <w:rPr>
          <w:rFonts w:ascii="Times New Roman" w:hAnsi="Times New Roman" w:cs="Times New Roman"/>
          <w:sz w:val="24"/>
          <w:szCs w:val="24"/>
        </w:rPr>
        <w:t>эффективные варианты</w:t>
      </w:r>
      <w:r w:rsidR="008E65E7" w:rsidRPr="00A72015">
        <w:rPr>
          <w:rFonts w:ascii="Times New Roman" w:hAnsi="Times New Roman" w:cs="Times New Roman"/>
          <w:sz w:val="24"/>
          <w:szCs w:val="24"/>
        </w:rPr>
        <w:t xml:space="preserve"> сотрудничества, определены основные критерии в выборе с</w:t>
      </w:r>
      <w:r w:rsidR="00196158">
        <w:rPr>
          <w:rFonts w:ascii="Times New Roman" w:hAnsi="Times New Roman" w:cs="Times New Roman"/>
          <w:sz w:val="24"/>
          <w:szCs w:val="24"/>
        </w:rPr>
        <w:t>портивных организаций и событий</w:t>
      </w:r>
      <w:r w:rsidR="008E65E7" w:rsidRPr="00A72015">
        <w:rPr>
          <w:rFonts w:ascii="Times New Roman" w:hAnsi="Times New Roman" w:cs="Times New Roman"/>
          <w:sz w:val="24"/>
          <w:szCs w:val="24"/>
        </w:rPr>
        <w:t xml:space="preserve"> для дальнейшей работы в данном канале продвижения. </w:t>
      </w:r>
      <w:r w:rsidRPr="00A72015">
        <w:rPr>
          <w:rFonts w:ascii="Times New Roman" w:hAnsi="Times New Roman" w:cs="Times New Roman"/>
          <w:sz w:val="24"/>
          <w:szCs w:val="24"/>
        </w:rPr>
        <w:t>Данные предложения поспособствуют</w:t>
      </w:r>
      <w:r w:rsidR="008E65E7" w:rsidRPr="00A72015">
        <w:rPr>
          <w:rFonts w:ascii="Times New Roman" w:hAnsi="Times New Roman" w:cs="Times New Roman"/>
          <w:sz w:val="24"/>
          <w:szCs w:val="24"/>
        </w:rPr>
        <w:t xml:space="preserve"> более эффективному продвижению бренда «МИР» через спорт, как на национальном рынке, так и за его пределами. </w:t>
      </w:r>
    </w:p>
    <w:p w:rsidR="002F63AD" w:rsidRPr="00A72015" w:rsidRDefault="002F63AD" w:rsidP="00A72015">
      <w:pPr>
        <w:spacing w:after="0" w:line="240" w:lineRule="auto"/>
        <w:rPr>
          <w:rFonts w:ascii="Times New Roman" w:hAnsi="Times New Roman" w:cs="Times New Roman"/>
          <w:b/>
          <w:sz w:val="24"/>
          <w:szCs w:val="24"/>
        </w:rPr>
      </w:pPr>
    </w:p>
    <w:p w:rsidR="00DD6234" w:rsidRPr="00A72015" w:rsidRDefault="00DD6234" w:rsidP="00A72015">
      <w:pPr>
        <w:spacing w:after="0" w:line="240" w:lineRule="auto"/>
        <w:rPr>
          <w:rFonts w:ascii="Times New Roman" w:hAnsi="Times New Roman" w:cs="Times New Roman"/>
          <w:sz w:val="24"/>
          <w:szCs w:val="24"/>
        </w:rPr>
      </w:pPr>
      <w:r w:rsidRPr="00A72015">
        <w:rPr>
          <w:rFonts w:ascii="Times New Roman" w:hAnsi="Times New Roman" w:cs="Times New Roman"/>
          <w:b/>
          <w:sz w:val="24"/>
          <w:szCs w:val="24"/>
        </w:rPr>
        <w:t>Ключевые слова:</w:t>
      </w:r>
      <w:r w:rsidRPr="00A72015">
        <w:rPr>
          <w:rFonts w:ascii="Times New Roman" w:hAnsi="Times New Roman" w:cs="Times New Roman"/>
          <w:sz w:val="24"/>
          <w:szCs w:val="24"/>
        </w:rPr>
        <w:t xml:space="preserve"> </w:t>
      </w:r>
      <w:r w:rsidR="00DB7EE5" w:rsidRPr="00A72015">
        <w:rPr>
          <w:rFonts w:ascii="Times New Roman" w:hAnsi="Times New Roman" w:cs="Times New Roman"/>
          <w:sz w:val="24"/>
          <w:szCs w:val="24"/>
        </w:rPr>
        <w:t xml:space="preserve">спорт; </w:t>
      </w:r>
      <w:r w:rsidRPr="00A72015">
        <w:rPr>
          <w:rFonts w:ascii="Times New Roman" w:hAnsi="Times New Roman" w:cs="Times New Roman"/>
          <w:sz w:val="24"/>
          <w:szCs w:val="24"/>
        </w:rPr>
        <w:t xml:space="preserve">спортивный маркетинг; </w:t>
      </w:r>
      <w:r w:rsidR="00DB7EE5" w:rsidRPr="00A72015">
        <w:rPr>
          <w:rFonts w:ascii="Times New Roman" w:hAnsi="Times New Roman" w:cs="Times New Roman"/>
          <w:sz w:val="24"/>
          <w:szCs w:val="24"/>
        </w:rPr>
        <w:t xml:space="preserve">платежная система; </w:t>
      </w:r>
      <w:r w:rsidR="006A607D" w:rsidRPr="00A72015">
        <w:rPr>
          <w:rFonts w:ascii="Times New Roman" w:hAnsi="Times New Roman" w:cs="Times New Roman"/>
          <w:sz w:val="24"/>
          <w:szCs w:val="24"/>
        </w:rPr>
        <w:t>бренд</w:t>
      </w:r>
      <w:r w:rsidRPr="00A72015">
        <w:rPr>
          <w:rFonts w:ascii="Times New Roman" w:hAnsi="Times New Roman" w:cs="Times New Roman"/>
          <w:sz w:val="24"/>
          <w:szCs w:val="24"/>
        </w:rPr>
        <w:t xml:space="preserve">; спонсорство; активация спонсорства. </w:t>
      </w:r>
    </w:p>
    <w:p w:rsidR="00DD6234" w:rsidRPr="00A72015" w:rsidRDefault="00DD6234" w:rsidP="00A72015">
      <w:pPr>
        <w:spacing w:after="0" w:line="240" w:lineRule="auto"/>
        <w:rPr>
          <w:rFonts w:ascii="Times New Roman" w:hAnsi="Times New Roman" w:cs="Times New Roman"/>
          <w:sz w:val="24"/>
          <w:szCs w:val="24"/>
        </w:rPr>
      </w:pPr>
    </w:p>
    <w:p w:rsidR="00196158" w:rsidRPr="00196158" w:rsidRDefault="00196158" w:rsidP="00196158">
      <w:pPr>
        <w:spacing w:after="0" w:line="240" w:lineRule="auto"/>
        <w:rPr>
          <w:rFonts w:ascii="Times New Roman" w:hAnsi="Times New Roman" w:cs="Times New Roman"/>
          <w:sz w:val="24"/>
          <w:szCs w:val="24"/>
          <w:lang w:val="en-US"/>
        </w:rPr>
      </w:pPr>
      <w:r w:rsidRPr="00196158">
        <w:rPr>
          <w:rFonts w:ascii="Times New Roman" w:hAnsi="Times New Roman" w:cs="Times New Roman"/>
          <w:sz w:val="24"/>
          <w:szCs w:val="24"/>
          <w:lang w:val="en-US"/>
        </w:rPr>
        <w:lastRenderedPageBreak/>
        <w:t xml:space="preserve">This article discusses the promotion of payment systems through sports organizations and events. It explores the collaboration between leading international payment systems, such as Visa, Mastercard, and the national payment system MIR, and major sporting events, including the Olympic and Paralympic Games, FIFA World Cups, Formula 1 races, tennis and basketball tournaments, as well as Russian football, hockey, and figure skating tournaments. The main issues identified in the study were related to the identification of sports rights holders, the interaction between rights holders and rights acquirers, and the effective implementation of acquired rights. Based on the analysis, effective collaboration options were identified, and the main criteria for selecting sports organizations and events for further promotion were determined. These suggestions will contribute to the more effective promotion of the MIR brand through sports, both domestically and internationally. </w:t>
      </w:r>
    </w:p>
    <w:p w:rsidR="00196158" w:rsidRPr="00196158" w:rsidRDefault="00196158" w:rsidP="00196158">
      <w:pPr>
        <w:spacing w:after="0" w:line="240" w:lineRule="auto"/>
        <w:rPr>
          <w:rFonts w:ascii="Times New Roman" w:hAnsi="Times New Roman" w:cs="Times New Roman"/>
          <w:sz w:val="24"/>
          <w:szCs w:val="24"/>
          <w:lang w:val="en-US"/>
        </w:rPr>
      </w:pPr>
    </w:p>
    <w:p w:rsidR="00DD6234" w:rsidRPr="00A72015" w:rsidRDefault="00196158" w:rsidP="00196158">
      <w:pPr>
        <w:spacing w:after="0" w:line="240" w:lineRule="auto"/>
        <w:rPr>
          <w:rFonts w:ascii="Times New Roman" w:hAnsi="Times New Roman" w:cs="Times New Roman"/>
          <w:sz w:val="24"/>
          <w:szCs w:val="24"/>
          <w:lang w:val="en-US"/>
        </w:rPr>
      </w:pPr>
      <w:r w:rsidRPr="00196158">
        <w:rPr>
          <w:rFonts w:ascii="Times New Roman" w:hAnsi="Times New Roman" w:cs="Times New Roman"/>
          <w:b/>
          <w:sz w:val="24"/>
          <w:szCs w:val="24"/>
          <w:lang w:val="en-US"/>
        </w:rPr>
        <w:t>Keywords</w:t>
      </w:r>
      <w:r w:rsidRPr="00196158">
        <w:rPr>
          <w:rFonts w:ascii="Times New Roman" w:hAnsi="Times New Roman" w:cs="Times New Roman"/>
          <w:sz w:val="24"/>
          <w:szCs w:val="24"/>
          <w:lang w:val="en-US"/>
        </w:rPr>
        <w:t>: sports; sports marketing; payment system; brand; sponsorship; sponsorship activation.</w:t>
      </w:r>
    </w:p>
    <w:p w:rsidR="00866953" w:rsidRPr="00A72015" w:rsidRDefault="00866953" w:rsidP="00A72015">
      <w:pPr>
        <w:spacing w:after="0" w:line="240" w:lineRule="auto"/>
        <w:ind w:firstLine="708"/>
        <w:rPr>
          <w:rFonts w:ascii="Times New Roman" w:eastAsia="Times New Roman" w:hAnsi="Times New Roman" w:cs="Times New Roman"/>
          <w:b/>
          <w:bCs/>
          <w:sz w:val="24"/>
          <w:szCs w:val="24"/>
          <w:lang w:val="en-US" w:eastAsia="ru-RU"/>
        </w:rPr>
      </w:pPr>
    </w:p>
    <w:p w:rsidR="00355F69" w:rsidRPr="00A72015" w:rsidRDefault="00355F69" w:rsidP="00A72015">
      <w:pPr>
        <w:spacing w:after="0" w:line="240" w:lineRule="auto"/>
        <w:ind w:firstLine="708"/>
        <w:rPr>
          <w:rFonts w:ascii="Times New Roman" w:eastAsia="Times New Roman" w:hAnsi="Times New Roman" w:cs="Times New Roman"/>
          <w:b/>
          <w:bCs/>
          <w:sz w:val="24"/>
          <w:szCs w:val="24"/>
          <w:lang w:eastAsia="ru-RU"/>
        </w:rPr>
      </w:pPr>
      <w:r w:rsidRPr="00A72015">
        <w:rPr>
          <w:rFonts w:ascii="Times New Roman" w:eastAsia="Times New Roman" w:hAnsi="Times New Roman" w:cs="Times New Roman"/>
          <w:b/>
          <w:bCs/>
          <w:sz w:val="24"/>
          <w:szCs w:val="24"/>
          <w:lang w:eastAsia="ru-RU"/>
        </w:rPr>
        <w:t>Введение (Introduction)</w:t>
      </w:r>
    </w:p>
    <w:p w:rsidR="00FA2642" w:rsidRPr="00A72015" w:rsidRDefault="006C07E6" w:rsidP="00A72015">
      <w:pPr>
        <w:spacing w:after="0" w:line="240" w:lineRule="auto"/>
        <w:ind w:firstLine="708"/>
        <w:rPr>
          <w:rFonts w:ascii="Times New Roman" w:hAnsi="Times New Roman" w:cs="Times New Roman"/>
          <w:sz w:val="24"/>
          <w:szCs w:val="24"/>
        </w:rPr>
      </w:pPr>
      <w:r w:rsidRPr="00A72015">
        <w:rPr>
          <w:rFonts w:ascii="Times New Roman" w:hAnsi="Times New Roman" w:cs="Times New Roman"/>
          <w:sz w:val="24"/>
          <w:szCs w:val="24"/>
        </w:rPr>
        <w:t>Современные платежные системы активно развиваются и предоставляю</w:t>
      </w:r>
      <w:r w:rsidR="00064EB4">
        <w:rPr>
          <w:rFonts w:ascii="Times New Roman" w:hAnsi="Times New Roman" w:cs="Times New Roman"/>
          <w:sz w:val="24"/>
          <w:szCs w:val="24"/>
        </w:rPr>
        <w:t>т</w:t>
      </w:r>
      <w:r w:rsidRPr="00A72015">
        <w:rPr>
          <w:rFonts w:ascii="Times New Roman" w:hAnsi="Times New Roman" w:cs="Times New Roman"/>
          <w:sz w:val="24"/>
          <w:szCs w:val="24"/>
        </w:rPr>
        <w:t xml:space="preserve"> все больше и больше возможностей для своих пользователей. Одной из главных маркетинговых задач для платежных систем является донесение своих инноваций до максимально возможных аудиторий</w:t>
      </w:r>
      <w:r w:rsidR="00A924A1" w:rsidRPr="00A72015">
        <w:rPr>
          <w:rFonts w:ascii="Times New Roman" w:hAnsi="Times New Roman" w:cs="Times New Roman"/>
          <w:sz w:val="24"/>
          <w:szCs w:val="24"/>
        </w:rPr>
        <w:t>. Спорт является одн</w:t>
      </w:r>
      <w:r w:rsidR="00D57BFE">
        <w:rPr>
          <w:rFonts w:ascii="Times New Roman" w:hAnsi="Times New Roman" w:cs="Times New Roman"/>
          <w:sz w:val="24"/>
          <w:szCs w:val="24"/>
        </w:rPr>
        <w:t>им</w:t>
      </w:r>
      <w:r w:rsidR="00A924A1" w:rsidRPr="00A72015">
        <w:rPr>
          <w:rFonts w:ascii="Times New Roman" w:hAnsi="Times New Roman" w:cs="Times New Roman"/>
          <w:sz w:val="24"/>
          <w:szCs w:val="24"/>
        </w:rPr>
        <w:t xml:space="preserve"> из таких перспективных направлений деятельности для расширения аудитории брендов платежных систем. </w:t>
      </w:r>
      <w:r w:rsidRPr="00A72015">
        <w:rPr>
          <w:rFonts w:ascii="Times New Roman" w:hAnsi="Times New Roman" w:cs="Times New Roman"/>
          <w:sz w:val="24"/>
          <w:szCs w:val="24"/>
        </w:rPr>
        <w:t xml:space="preserve">Миллиардные аудитории Олимпийских игр, чемпионатов мира по футболу, баскетболу, легкой атлетике и многих других турниров становятся ключевыми при сотрудничестве со спортивными организациями и турнирами. </w:t>
      </w:r>
      <w:r w:rsidR="00FA2642" w:rsidRPr="00A72015">
        <w:rPr>
          <w:rFonts w:ascii="Times New Roman" w:hAnsi="Times New Roman" w:cs="Times New Roman"/>
          <w:sz w:val="24"/>
          <w:szCs w:val="24"/>
        </w:rPr>
        <w:t>Возможности по коммуникации с аудиториями спорта, активации предоставляемых возможностей, интеграции в работу этих спортивных организаций финансовых продуктов, являются актуальной темой исследования.</w:t>
      </w:r>
    </w:p>
    <w:p w:rsidR="00A924A1" w:rsidRPr="00A72015" w:rsidRDefault="00A924A1" w:rsidP="00A72015">
      <w:pPr>
        <w:spacing w:after="0" w:line="240" w:lineRule="auto"/>
        <w:ind w:firstLine="708"/>
        <w:rPr>
          <w:rFonts w:ascii="Times New Roman" w:hAnsi="Times New Roman" w:cs="Times New Roman"/>
          <w:sz w:val="24"/>
          <w:szCs w:val="24"/>
        </w:rPr>
      </w:pPr>
      <w:r w:rsidRPr="00A72015">
        <w:rPr>
          <w:rFonts w:ascii="Times New Roman" w:hAnsi="Times New Roman" w:cs="Times New Roman"/>
          <w:sz w:val="24"/>
          <w:szCs w:val="24"/>
        </w:rPr>
        <w:t xml:space="preserve">Полученные результаты исследований позволят изучить мировые практики ведущих брендов платежных систем по продвижению через спорт, варианты активаций и интеграций с целью наиболее эффективного использования </w:t>
      </w:r>
      <w:r w:rsidR="008F2911" w:rsidRPr="00A72015">
        <w:rPr>
          <w:rFonts w:ascii="Times New Roman" w:hAnsi="Times New Roman" w:cs="Times New Roman"/>
          <w:sz w:val="24"/>
          <w:szCs w:val="24"/>
        </w:rPr>
        <w:t>платежной систем</w:t>
      </w:r>
      <w:r w:rsidR="008F2911">
        <w:rPr>
          <w:rFonts w:ascii="Times New Roman" w:hAnsi="Times New Roman" w:cs="Times New Roman"/>
          <w:sz w:val="24"/>
          <w:szCs w:val="24"/>
        </w:rPr>
        <w:t xml:space="preserve">ой </w:t>
      </w:r>
      <w:r w:rsidR="008F2911" w:rsidRPr="00A72015">
        <w:rPr>
          <w:rFonts w:ascii="Times New Roman" w:hAnsi="Times New Roman" w:cs="Times New Roman"/>
          <w:sz w:val="24"/>
          <w:szCs w:val="24"/>
        </w:rPr>
        <w:t>«МИР»</w:t>
      </w:r>
      <w:r w:rsidR="008F2911">
        <w:rPr>
          <w:rFonts w:ascii="Times New Roman" w:hAnsi="Times New Roman" w:cs="Times New Roman"/>
          <w:sz w:val="24"/>
          <w:szCs w:val="24"/>
        </w:rPr>
        <w:t xml:space="preserve"> </w:t>
      </w:r>
      <w:r w:rsidR="00CB313E">
        <w:rPr>
          <w:rFonts w:ascii="Times New Roman" w:hAnsi="Times New Roman" w:cs="Times New Roman"/>
          <w:sz w:val="24"/>
          <w:szCs w:val="24"/>
        </w:rPr>
        <w:t xml:space="preserve">своих </w:t>
      </w:r>
      <w:r w:rsidRPr="00A72015">
        <w:rPr>
          <w:rFonts w:ascii="Times New Roman" w:hAnsi="Times New Roman" w:cs="Times New Roman"/>
          <w:sz w:val="24"/>
          <w:szCs w:val="24"/>
        </w:rPr>
        <w:t xml:space="preserve">спонсорских возможностей в рамках спортивных организаций и событий.     </w:t>
      </w:r>
    </w:p>
    <w:p w:rsidR="00A924A1" w:rsidRPr="00A72015" w:rsidRDefault="00A924A1" w:rsidP="00A72015">
      <w:pPr>
        <w:spacing w:after="0" w:line="240" w:lineRule="auto"/>
        <w:ind w:firstLine="708"/>
        <w:rPr>
          <w:rFonts w:ascii="Times New Roman" w:hAnsi="Times New Roman" w:cs="Times New Roman"/>
          <w:sz w:val="24"/>
          <w:szCs w:val="24"/>
        </w:rPr>
      </w:pPr>
      <w:r w:rsidRPr="00A72015">
        <w:rPr>
          <w:rFonts w:ascii="Times New Roman" w:hAnsi="Times New Roman" w:cs="Times New Roman"/>
          <w:sz w:val="24"/>
          <w:szCs w:val="24"/>
        </w:rPr>
        <w:t>Многими отечественными авторами рассматриваются вопросы развития нацио</w:t>
      </w:r>
      <w:r w:rsidR="00CB313E">
        <w:rPr>
          <w:rFonts w:ascii="Times New Roman" w:hAnsi="Times New Roman" w:cs="Times New Roman"/>
          <w:sz w:val="24"/>
          <w:szCs w:val="24"/>
        </w:rPr>
        <w:t>нальной платежной системы «МИР»</w:t>
      </w:r>
      <w:r w:rsidR="00CB313E">
        <w:rPr>
          <w:rStyle w:val="aa"/>
          <w:rFonts w:ascii="Times New Roman" w:hAnsi="Times New Roman" w:cs="Times New Roman"/>
          <w:sz w:val="24"/>
          <w:szCs w:val="24"/>
        </w:rPr>
        <w:footnoteReference w:id="2"/>
      </w:r>
      <w:r w:rsidR="000A6D57">
        <w:rPr>
          <w:rFonts w:ascii="Times New Roman" w:hAnsi="Times New Roman" w:cs="Times New Roman"/>
          <w:sz w:val="24"/>
          <w:szCs w:val="24"/>
        </w:rPr>
        <w:t>,</w:t>
      </w:r>
      <w:r w:rsidR="000A6D57">
        <w:rPr>
          <w:rStyle w:val="aa"/>
          <w:rFonts w:ascii="Times New Roman" w:hAnsi="Times New Roman" w:cs="Times New Roman"/>
          <w:sz w:val="24"/>
          <w:szCs w:val="24"/>
        </w:rPr>
        <w:footnoteReference w:id="3"/>
      </w:r>
      <w:r w:rsidR="000A6D57">
        <w:rPr>
          <w:rFonts w:ascii="Times New Roman" w:hAnsi="Times New Roman" w:cs="Times New Roman"/>
          <w:sz w:val="24"/>
          <w:szCs w:val="24"/>
        </w:rPr>
        <w:t>,</w:t>
      </w:r>
      <w:r w:rsidR="000A6D57">
        <w:rPr>
          <w:rStyle w:val="aa"/>
          <w:rFonts w:ascii="Times New Roman" w:hAnsi="Times New Roman" w:cs="Times New Roman"/>
          <w:sz w:val="24"/>
          <w:szCs w:val="24"/>
        </w:rPr>
        <w:footnoteReference w:id="4"/>
      </w:r>
      <w:r w:rsidR="004B0EEB">
        <w:rPr>
          <w:rFonts w:ascii="Times New Roman" w:hAnsi="Times New Roman" w:cs="Times New Roman"/>
          <w:sz w:val="24"/>
          <w:szCs w:val="24"/>
        </w:rPr>
        <w:t>,</w:t>
      </w:r>
      <w:r w:rsidR="004B0EEB">
        <w:rPr>
          <w:rStyle w:val="aa"/>
          <w:rFonts w:ascii="Times New Roman" w:hAnsi="Times New Roman" w:cs="Times New Roman"/>
          <w:sz w:val="24"/>
          <w:szCs w:val="24"/>
        </w:rPr>
        <w:footnoteReference w:id="5"/>
      </w:r>
      <w:r w:rsidR="0052043B">
        <w:rPr>
          <w:rFonts w:ascii="Times New Roman" w:hAnsi="Times New Roman" w:cs="Times New Roman"/>
          <w:sz w:val="24"/>
          <w:szCs w:val="24"/>
        </w:rPr>
        <w:t>,</w:t>
      </w:r>
      <w:r w:rsidR="0052043B">
        <w:rPr>
          <w:rStyle w:val="aa"/>
          <w:rFonts w:ascii="Times New Roman" w:hAnsi="Times New Roman" w:cs="Times New Roman"/>
          <w:sz w:val="24"/>
          <w:szCs w:val="24"/>
        </w:rPr>
        <w:footnoteReference w:id="6"/>
      </w:r>
      <w:r w:rsidRPr="00A72015">
        <w:rPr>
          <w:rFonts w:ascii="Times New Roman" w:hAnsi="Times New Roman" w:cs="Times New Roman"/>
          <w:sz w:val="24"/>
          <w:szCs w:val="24"/>
        </w:rPr>
        <w:t xml:space="preserve">. Однако в литературе отсутствуют актуальные исследования особенностей и проблем продвижения платежных систем к самой массовой аудитории </w:t>
      </w:r>
      <w:r w:rsidR="007F0414">
        <w:rPr>
          <w:rFonts w:ascii="Times New Roman" w:hAnsi="Times New Roman" w:cs="Times New Roman"/>
          <w:sz w:val="24"/>
          <w:szCs w:val="24"/>
        </w:rPr>
        <w:t>–</w:t>
      </w:r>
      <w:r w:rsidRPr="00A72015">
        <w:rPr>
          <w:rFonts w:ascii="Times New Roman" w:hAnsi="Times New Roman" w:cs="Times New Roman"/>
          <w:sz w:val="24"/>
          <w:szCs w:val="24"/>
        </w:rPr>
        <w:t xml:space="preserve"> аудитории спортивной индустрии. Данные проблемы и возможности для национальной платежной системы «МИР» будут рассмотрены в данной статье.</w:t>
      </w:r>
    </w:p>
    <w:p w:rsidR="008D3F1F" w:rsidRPr="00A72015" w:rsidRDefault="008D3F1F" w:rsidP="00A72015">
      <w:pPr>
        <w:spacing w:after="0" w:line="240" w:lineRule="auto"/>
        <w:ind w:firstLine="708"/>
        <w:rPr>
          <w:rFonts w:ascii="Times New Roman" w:hAnsi="Times New Roman" w:cs="Times New Roman"/>
          <w:sz w:val="24"/>
          <w:szCs w:val="24"/>
        </w:rPr>
      </w:pPr>
      <w:r w:rsidRPr="00A72015">
        <w:rPr>
          <w:rFonts w:ascii="Times New Roman" w:hAnsi="Times New Roman" w:cs="Times New Roman"/>
          <w:sz w:val="24"/>
          <w:szCs w:val="24"/>
        </w:rPr>
        <w:t>Для обеспечения безопасности национальной финансовой системы был запущен проект по созданию собственной независимой платежной системы, чтобы обеспечить независимост</w:t>
      </w:r>
      <w:r w:rsidR="007F0414">
        <w:rPr>
          <w:rFonts w:ascii="Times New Roman" w:hAnsi="Times New Roman" w:cs="Times New Roman"/>
          <w:sz w:val="24"/>
          <w:szCs w:val="24"/>
        </w:rPr>
        <w:t>ь</w:t>
      </w:r>
      <w:r w:rsidRPr="00A72015">
        <w:rPr>
          <w:rFonts w:ascii="Times New Roman" w:hAnsi="Times New Roman" w:cs="Times New Roman"/>
          <w:sz w:val="24"/>
          <w:szCs w:val="24"/>
        </w:rPr>
        <w:t xml:space="preserve"> от зарубежных финансовых организаций в кратчайшие сроки. Через АО «Национальн</w:t>
      </w:r>
      <w:r w:rsidR="007F0414">
        <w:rPr>
          <w:rFonts w:ascii="Times New Roman" w:hAnsi="Times New Roman" w:cs="Times New Roman"/>
          <w:sz w:val="24"/>
          <w:szCs w:val="24"/>
        </w:rPr>
        <w:t>ая</w:t>
      </w:r>
      <w:r w:rsidRPr="00A72015">
        <w:rPr>
          <w:rFonts w:ascii="Times New Roman" w:hAnsi="Times New Roman" w:cs="Times New Roman"/>
          <w:sz w:val="24"/>
          <w:szCs w:val="24"/>
        </w:rPr>
        <w:t xml:space="preserve"> систем</w:t>
      </w:r>
      <w:r w:rsidR="007F0414">
        <w:rPr>
          <w:rFonts w:ascii="Times New Roman" w:hAnsi="Times New Roman" w:cs="Times New Roman"/>
          <w:sz w:val="24"/>
          <w:szCs w:val="24"/>
        </w:rPr>
        <w:t xml:space="preserve">а </w:t>
      </w:r>
      <w:r w:rsidRPr="00A72015">
        <w:rPr>
          <w:rFonts w:ascii="Times New Roman" w:hAnsi="Times New Roman" w:cs="Times New Roman"/>
          <w:sz w:val="24"/>
          <w:szCs w:val="24"/>
        </w:rPr>
        <w:t xml:space="preserve">платежных карт» (НСПК) после 1 апреля 2015 года ста ли </w:t>
      </w:r>
      <w:r w:rsidRPr="00A72015">
        <w:rPr>
          <w:rFonts w:ascii="Times New Roman" w:hAnsi="Times New Roman" w:cs="Times New Roman"/>
          <w:sz w:val="24"/>
          <w:szCs w:val="24"/>
        </w:rPr>
        <w:lastRenderedPageBreak/>
        <w:t>осуществляться внутрироссийские операции по картам всех платежных систем.</w:t>
      </w:r>
      <w:r w:rsidR="006C07E6" w:rsidRPr="00A72015">
        <w:rPr>
          <w:rFonts w:ascii="Times New Roman" w:hAnsi="Times New Roman" w:cs="Times New Roman"/>
          <w:sz w:val="24"/>
          <w:szCs w:val="24"/>
        </w:rPr>
        <w:t xml:space="preserve"> </w:t>
      </w:r>
      <w:r w:rsidRPr="00A72015">
        <w:rPr>
          <w:rFonts w:ascii="Times New Roman" w:hAnsi="Times New Roman" w:cs="Times New Roman"/>
          <w:sz w:val="24"/>
          <w:szCs w:val="24"/>
        </w:rPr>
        <w:t xml:space="preserve">Карты «Мир» принимают помимо России в таких странах как Армения, Абхазия, Беларусь, Казахстан, Киргизия, Южная Осетия, Вьетнам, Таджикистан, </w:t>
      </w:r>
      <w:r w:rsidR="005F1A4F">
        <w:rPr>
          <w:rFonts w:ascii="Times New Roman" w:hAnsi="Times New Roman" w:cs="Times New Roman"/>
          <w:sz w:val="24"/>
          <w:szCs w:val="24"/>
        </w:rPr>
        <w:t>ОАЭ</w:t>
      </w:r>
      <w:r w:rsidRPr="00A72015">
        <w:rPr>
          <w:rFonts w:ascii="Times New Roman" w:hAnsi="Times New Roman" w:cs="Times New Roman"/>
          <w:sz w:val="24"/>
          <w:szCs w:val="24"/>
        </w:rPr>
        <w:t xml:space="preserve"> и Турции (в отдельных местах). В настоящее время Банк России прилагает усилия по расширению списка стран, однако затрудняет решение этой задач</w:t>
      </w:r>
      <w:r w:rsidR="005C12E1">
        <w:rPr>
          <w:rFonts w:ascii="Times New Roman" w:hAnsi="Times New Roman" w:cs="Times New Roman"/>
          <w:sz w:val="24"/>
          <w:szCs w:val="24"/>
        </w:rPr>
        <w:t>и</w:t>
      </w:r>
      <w:r w:rsidRPr="00A72015">
        <w:rPr>
          <w:rFonts w:ascii="Times New Roman" w:hAnsi="Times New Roman" w:cs="Times New Roman"/>
          <w:sz w:val="24"/>
          <w:szCs w:val="24"/>
        </w:rPr>
        <w:t xml:space="preserve"> нежелание иностранных банков подвергаться риску санкций</w:t>
      </w:r>
      <w:r w:rsidR="005C12E1">
        <w:rPr>
          <w:rFonts w:ascii="Times New Roman" w:hAnsi="Times New Roman" w:cs="Times New Roman"/>
          <w:sz w:val="24"/>
          <w:szCs w:val="24"/>
        </w:rPr>
        <w:t>.</w:t>
      </w:r>
    </w:p>
    <w:p w:rsidR="008D3F1F" w:rsidRPr="00A72015" w:rsidRDefault="008D3F1F" w:rsidP="00A72015">
      <w:pPr>
        <w:spacing w:after="0" w:line="240" w:lineRule="auto"/>
        <w:ind w:firstLine="708"/>
        <w:rPr>
          <w:rFonts w:ascii="Times New Roman" w:hAnsi="Times New Roman" w:cs="Times New Roman"/>
          <w:sz w:val="24"/>
          <w:szCs w:val="24"/>
        </w:rPr>
      </w:pPr>
      <w:r w:rsidRPr="00A72015">
        <w:rPr>
          <w:rFonts w:ascii="Times New Roman" w:hAnsi="Times New Roman" w:cs="Times New Roman"/>
          <w:sz w:val="24"/>
          <w:szCs w:val="24"/>
        </w:rPr>
        <w:t xml:space="preserve">Интересными дополнительными возможностями для правообладателей </w:t>
      </w:r>
      <w:r w:rsidR="005B04A8" w:rsidRPr="00A72015">
        <w:rPr>
          <w:rFonts w:ascii="Times New Roman" w:hAnsi="Times New Roman" w:cs="Times New Roman"/>
          <w:sz w:val="24"/>
          <w:szCs w:val="24"/>
        </w:rPr>
        <w:t>располагает</w:t>
      </w:r>
      <w:r w:rsidRPr="00A72015">
        <w:rPr>
          <w:rFonts w:ascii="Times New Roman" w:hAnsi="Times New Roman" w:cs="Times New Roman"/>
          <w:sz w:val="24"/>
          <w:szCs w:val="24"/>
        </w:rPr>
        <w:t xml:space="preserve"> сегментация предложений для компаний по категориям. В настоящее время в спорте используют разделение на категории спонсоров и партнеров. Различают несколько типов спонсоров и партнеров, в зависимости от специфики их поддержки </w:t>
      </w:r>
      <w:r w:rsidR="000164A5">
        <w:rPr>
          <w:rFonts w:ascii="Times New Roman" w:hAnsi="Times New Roman" w:cs="Times New Roman"/>
          <w:sz w:val="24"/>
          <w:szCs w:val="24"/>
        </w:rPr>
        <w:t>–</w:t>
      </w:r>
      <w:r w:rsidRPr="00A72015">
        <w:rPr>
          <w:rFonts w:ascii="Times New Roman" w:hAnsi="Times New Roman" w:cs="Times New Roman"/>
          <w:sz w:val="24"/>
          <w:szCs w:val="24"/>
        </w:rPr>
        <w:t xml:space="preserve"> финансовой, технической или информационной.</w:t>
      </w:r>
      <w:r w:rsidR="000164A5">
        <w:rPr>
          <w:rStyle w:val="aa"/>
          <w:rFonts w:ascii="Times New Roman" w:hAnsi="Times New Roman" w:cs="Times New Roman"/>
          <w:sz w:val="24"/>
          <w:szCs w:val="24"/>
        </w:rPr>
        <w:footnoteReference w:id="7"/>
      </w:r>
      <w:r w:rsidR="00094AAD" w:rsidRPr="00A72015">
        <w:rPr>
          <w:rFonts w:ascii="Times New Roman" w:hAnsi="Times New Roman" w:cs="Times New Roman"/>
          <w:sz w:val="24"/>
          <w:szCs w:val="24"/>
        </w:rPr>
        <w:t xml:space="preserve"> </w:t>
      </w:r>
      <w:r w:rsidR="009C30AC">
        <w:rPr>
          <w:rFonts w:ascii="Times New Roman" w:hAnsi="Times New Roman" w:cs="Times New Roman"/>
          <w:sz w:val="24"/>
          <w:szCs w:val="24"/>
        </w:rPr>
        <w:t>Цель</w:t>
      </w:r>
      <w:r w:rsidR="00094AAD" w:rsidRPr="00A72015">
        <w:rPr>
          <w:rFonts w:ascii="Times New Roman" w:hAnsi="Times New Roman" w:cs="Times New Roman"/>
          <w:sz w:val="24"/>
          <w:szCs w:val="24"/>
        </w:rPr>
        <w:t xml:space="preserve"> исследования </w:t>
      </w:r>
      <w:r w:rsidR="009C30AC">
        <w:rPr>
          <w:rFonts w:ascii="Times New Roman" w:hAnsi="Times New Roman" w:cs="Times New Roman"/>
          <w:sz w:val="24"/>
          <w:szCs w:val="24"/>
        </w:rPr>
        <w:t xml:space="preserve">– </w:t>
      </w:r>
      <w:r w:rsidR="00094AAD" w:rsidRPr="00A72015">
        <w:rPr>
          <w:rFonts w:ascii="Times New Roman" w:hAnsi="Times New Roman" w:cs="Times New Roman"/>
          <w:sz w:val="24"/>
          <w:szCs w:val="24"/>
        </w:rPr>
        <w:t>провести анализ продвижения платежных систем через спорт на мировом и российском рынках, определить основные критерии выбор</w:t>
      </w:r>
      <w:r w:rsidR="009C30AC">
        <w:rPr>
          <w:rFonts w:ascii="Times New Roman" w:hAnsi="Times New Roman" w:cs="Times New Roman"/>
          <w:sz w:val="24"/>
          <w:szCs w:val="24"/>
        </w:rPr>
        <w:t>а</w:t>
      </w:r>
      <w:r w:rsidR="00094AAD" w:rsidRPr="00A72015">
        <w:rPr>
          <w:rFonts w:ascii="Times New Roman" w:hAnsi="Times New Roman" w:cs="Times New Roman"/>
          <w:sz w:val="24"/>
          <w:szCs w:val="24"/>
        </w:rPr>
        <w:t xml:space="preserve"> и работ</w:t>
      </w:r>
      <w:r w:rsidR="009C30AC">
        <w:rPr>
          <w:rFonts w:ascii="Times New Roman" w:hAnsi="Times New Roman" w:cs="Times New Roman"/>
          <w:sz w:val="24"/>
          <w:szCs w:val="24"/>
        </w:rPr>
        <w:t>ы</w:t>
      </w:r>
      <w:r w:rsidR="00094AAD" w:rsidRPr="00A72015">
        <w:rPr>
          <w:rFonts w:ascii="Times New Roman" w:hAnsi="Times New Roman" w:cs="Times New Roman"/>
          <w:sz w:val="24"/>
          <w:szCs w:val="24"/>
        </w:rPr>
        <w:t xml:space="preserve"> со спортивными организациями и событиями, оценить типы спонсорства и варианты </w:t>
      </w:r>
      <w:r w:rsidR="006C07E6" w:rsidRPr="00A72015">
        <w:rPr>
          <w:rFonts w:ascii="Times New Roman" w:hAnsi="Times New Roman" w:cs="Times New Roman"/>
          <w:sz w:val="24"/>
          <w:szCs w:val="24"/>
        </w:rPr>
        <w:t>активаций</w:t>
      </w:r>
      <w:r w:rsidR="00094AAD" w:rsidRPr="00A72015">
        <w:rPr>
          <w:rFonts w:ascii="Times New Roman" w:hAnsi="Times New Roman" w:cs="Times New Roman"/>
          <w:sz w:val="24"/>
          <w:szCs w:val="24"/>
        </w:rPr>
        <w:t>.</w:t>
      </w:r>
    </w:p>
    <w:p w:rsidR="00572421" w:rsidRPr="00A72015" w:rsidRDefault="00572421" w:rsidP="00A72015">
      <w:pPr>
        <w:spacing w:after="0" w:line="240" w:lineRule="auto"/>
        <w:rPr>
          <w:rFonts w:ascii="Times New Roman" w:hAnsi="Times New Roman" w:cs="Times New Roman"/>
          <w:sz w:val="24"/>
          <w:szCs w:val="24"/>
        </w:rPr>
      </w:pPr>
    </w:p>
    <w:p w:rsidR="003C2AA3" w:rsidRPr="00A72015" w:rsidRDefault="00355F69" w:rsidP="00A72015">
      <w:pPr>
        <w:spacing w:after="0" w:line="240" w:lineRule="auto"/>
        <w:ind w:firstLine="708"/>
        <w:rPr>
          <w:rFonts w:ascii="Times New Roman" w:eastAsia="Times New Roman" w:hAnsi="Times New Roman" w:cs="Times New Roman"/>
          <w:b/>
          <w:bCs/>
          <w:sz w:val="24"/>
          <w:szCs w:val="24"/>
          <w:lang w:val="en-US" w:eastAsia="ru-RU"/>
        </w:rPr>
      </w:pPr>
      <w:r w:rsidRPr="00A72015">
        <w:rPr>
          <w:rFonts w:ascii="Times New Roman" w:eastAsia="Times New Roman" w:hAnsi="Times New Roman" w:cs="Times New Roman"/>
          <w:b/>
          <w:bCs/>
          <w:sz w:val="24"/>
          <w:szCs w:val="24"/>
          <w:lang w:eastAsia="ru-RU"/>
        </w:rPr>
        <w:t>М</w:t>
      </w:r>
      <w:r w:rsidR="003C2AA3" w:rsidRPr="00A72015">
        <w:rPr>
          <w:rFonts w:ascii="Times New Roman" w:eastAsia="Times New Roman" w:hAnsi="Times New Roman" w:cs="Times New Roman"/>
          <w:b/>
          <w:bCs/>
          <w:sz w:val="24"/>
          <w:szCs w:val="24"/>
          <w:lang w:eastAsia="ru-RU"/>
        </w:rPr>
        <w:t>атериалы</w:t>
      </w:r>
      <w:r w:rsidR="003C2AA3" w:rsidRPr="00A72015">
        <w:rPr>
          <w:rFonts w:ascii="Times New Roman" w:eastAsia="Times New Roman" w:hAnsi="Times New Roman" w:cs="Times New Roman"/>
          <w:b/>
          <w:bCs/>
          <w:sz w:val="24"/>
          <w:szCs w:val="24"/>
          <w:lang w:val="en-US" w:eastAsia="ru-RU"/>
        </w:rPr>
        <w:t xml:space="preserve"> </w:t>
      </w:r>
      <w:r w:rsidR="003C2AA3" w:rsidRPr="00A72015">
        <w:rPr>
          <w:rFonts w:ascii="Times New Roman" w:eastAsia="Times New Roman" w:hAnsi="Times New Roman" w:cs="Times New Roman"/>
          <w:b/>
          <w:bCs/>
          <w:sz w:val="24"/>
          <w:szCs w:val="24"/>
          <w:lang w:eastAsia="ru-RU"/>
        </w:rPr>
        <w:t>и</w:t>
      </w:r>
      <w:r w:rsidR="003C2AA3" w:rsidRPr="00A72015">
        <w:rPr>
          <w:rFonts w:ascii="Times New Roman" w:eastAsia="Times New Roman" w:hAnsi="Times New Roman" w:cs="Times New Roman"/>
          <w:b/>
          <w:bCs/>
          <w:sz w:val="24"/>
          <w:szCs w:val="24"/>
          <w:lang w:val="en-US" w:eastAsia="ru-RU"/>
        </w:rPr>
        <w:t xml:space="preserve"> </w:t>
      </w:r>
      <w:r w:rsidR="003C2AA3" w:rsidRPr="00A72015">
        <w:rPr>
          <w:rFonts w:ascii="Times New Roman" w:eastAsia="Times New Roman" w:hAnsi="Times New Roman" w:cs="Times New Roman"/>
          <w:b/>
          <w:bCs/>
          <w:sz w:val="24"/>
          <w:szCs w:val="24"/>
          <w:lang w:eastAsia="ru-RU"/>
        </w:rPr>
        <w:t>м</w:t>
      </w:r>
      <w:r w:rsidRPr="00A72015">
        <w:rPr>
          <w:rFonts w:ascii="Times New Roman" w:eastAsia="Times New Roman" w:hAnsi="Times New Roman" w:cs="Times New Roman"/>
          <w:b/>
          <w:bCs/>
          <w:sz w:val="24"/>
          <w:szCs w:val="24"/>
          <w:lang w:eastAsia="ru-RU"/>
        </w:rPr>
        <w:t>етоды</w:t>
      </w:r>
      <w:r w:rsidRPr="00A72015">
        <w:rPr>
          <w:rFonts w:ascii="Times New Roman" w:eastAsia="Times New Roman" w:hAnsi="Times New Roman" w:cs="Times New Roman"/>
          <w:b/>
          <w:bCs/>
          <w:sz w:val="24"/>
          <w:szCs w:val="24"/>
          <w:lang w:val="en-US" w:eastAsia="ru-RU"/>
        </w:rPr>
        <w:t xml:space="preserve"> (Materials and Methods)</w:t>
      </w:r>
    </w:p>
    <w:p w:rsidR="00DB7EE5" w:rsidRPr="00A72015" w:rsidRDefault="00737F88" w:rsidP="00A72015">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работе был проведен ан</w:t>
      </w:r>
      <w:r w:rsidR="00DB7EE5" w:rsidRPr="00A72015">
        <w:rPr>
          <w:rFonts w:ascii="Times New Roman" w:eastAsia="Times New Roman" w:hAnsi="Times New Roman" w:cs="Times New Roman"/>
          <w:sz w:val="24"/>
          <w:szCs w:val="24"/>
          <w:lang w:eastAsia="ru-RU"/>
        </w:rPr>
        <w:t>ализ научных подходов к проблемам</w:t>
      </w:r>
      <w:r w:rsidR="007E3B37" w:rsidRPr="00A72015">
        <w:rPr>
          <w:rFonts w:ascii="Times New Roman" w:eastAsia="Times New Roman" w:hAnsi="Times New Roman" w:cs="Times New Roman"/>
          <w:sz w:val="24"/>
          <w:szCs w:val="24"/>
          <w:lang w:eastAsia="ru-RU"/>
        </w:rPr>
        <w:t xml:space="preserve"> реализации возможностей</w:t>
      </w:r>
      <w:r w:rsidR="00DB7EE5" w:rsidRPr="00A72015">
        <w:rPr>
          <w:rFonts w:ascii="Times New Roman" w:eastAsia="Times New Roman" w:hAnsi="Times New Roman" w:cs="Times New Roman"/>
          <w:sz w:val="24"/>
          <w:szCs w:val="24"/>
          <w:lang w:eastAsia="ru-RU"/>
        </w:rPr>
        <w:t xml:space="preserve"> российского рынка спонсорства в спорте </w:t>
      </w:r>
      <w:r w:rsidR="007E3B37" w:rsidRPr="00A72015">
        <w:rPr>
          <w:rFonts w:ascii="Times New Roman" w:eastAsia="Times New Roman" w:hAnsi="Times New Roman" w:cs="Times New Roman"/>
          <w:sz w:val="24"/>
          <w:szCs w:val="24"/>
          <w:lang w:eastAsia="ru-RU"/>
        </w:rPr>
        <w:t xml:space="preserve">для продвижения бренда платежной системы, </w:t>
      </w:r>
      <w:r w:rsidR="003C2AA3" w:rsidRPr="00A72015">
        <w:rPr>
          <w:rFonts w:ascii="Times New Roman" w:eastAsia="Times New Roman" w:hAnsi="Times New Roman" w:cs="Times New Roman"/>
          <w:sz w:val="24"/>
          <w:szCs w:val="24"/>
          <w:lang w:eastAsia="ru-RU"/>
        </w:rPr>
        <w:t>использования</w:t>
      </w:r>
      <w:r w:rsidR="007E3B37" w:rsidRPr="00A72015">
        <w:rPr>
          <w:rFonts w:ascii="Times New Roman" w:eastAsia="Times New Roman" w:hAnsi="Times New Roman" w:cs="Times New Roman"/>
          <w:sz w:val="24"/>
          <w:szCs w:val="24"/>
          <w:lang w:eastAsia="ru-RU"/>
        </w:rPr>
        <w:t xml:space="preserve"> предоставленных возможностей по активации спонсорства и </w:t>
      </w:r>
      <w:r w:rsidR="003C2AA3" w:rsidRPr="00A72015">
        <w:rPr>
          <w:rFonts w:ascii="Times New Roman" w:eastAsia="Times New Roman" w:hAnsi="Times New Roman" w:cs="Times New Roman"/>
          <w:sz w:val="24"/>
          <w:szCs w:val="24"/>
          <w:lang w:eastAsia="ru-RU"/>
        </w:rPr>
        <w:t xml:space="preserve">качественному </w:t>
      </w:r>
      <w:r w:rsidR="007E3B37" w:rsidRPr="00A72015">
        <w:rPr>
          <w:rFonts w:ascii="Times New Roman" w:eastAsia="Times New Roman" w:hAnsi="Times New Roman" w:cs="Times New Roman"/>
          <w:sz w:val="24"/>
          <w:szCs w:val="24"/>
          <w:lang w:eastAsia="ru-RU"/>
        </w:rPr>
        <w:t>взаимодействию с аудиториями спорта</w:t>
      </w:r>
      <w:r w:rsidR="00DB7EE5" w:rsidRPr="00A72015">
        <w:rPr>
          <w:rFonts w:ascii="Times New Roman" w:eastAsia="Times New Roman" w:hAnsi="Times New Roman" w:cs="Times New Roman"/>
          <w:sz w:val="24"/>
          <w:szCs w:val="24"/>
          <w:lang w:eastAsia="ru-RU"/>
        </w:rPr>
        <w:t>. Основ</w:t>
      </w:r>
      <w:r w:rsidR="007E3B37" w:rsidRPr="00A72015">
        <w:rPr>
          <w:rFonts w:ascii="Times New Roman" w:eastAsia="Times New Roman" w:hAnsi="Times New Roman" w:cs="Times New Roman"/>
          <w:sz w:val="24"/>
          <w:szCs w:val="24"/>
          <w:lang w:eastAsia="ru-RU"/>
        </w:rPr>
        <w:t xml:space="preserve">ной </w:t>
      </w:r>
      <w:r w:rsidR="003D5394">
        <w:rPr>
          <w:rFonts w:ascii="Times New Roman" w:eastAsia="Times New Roman" w:hAnsi="Times New Roman" w:cs="Times New Roman"/>
          <w:sz w:val="24"/>
          <w:szCs w:val="24"/>
          <w:lang w:eastAsia="ru-RU"/>
        </w:rPr>
        <w:t>идеей</w:t>
      </w:r>
      <w:r w:rsidR="007E3B37" w:rsidRPr="00A72015">
        <w:rPr>
          <w:rFonts w:ascii="Times New Roman" w:eastAsia="Times New Roman" w:hAnsi="Times New Roman" w:cs="Times New Roman"/>
          <w:sz w:val="24"/>
          <w:szCs w:val="24"/>
          <w:lang w:eastAsia="ru-RU"/>
        </w:rPr>
        <w:t xml:space="preserve"> исследования было изучение </w:t>
      </w:r>
      <w:r w:rsidR="003C2AA3" w:rsidRPr="00A72015">
        <w:rPr>
          <w:rFonts w:ascii="Times New Roman" w:eastAsia="Times New Roman" w:hAnsi="Times New Roman" w:cs="Times New Roman"/>
          <w:sz w:val="24"/>
          <w:szCs w:val="24"/>
          <w:lang w:eastAsia="ru-RU"/>
        </w:rPr>
        <w:t>значимых</w:t>
      </w:r>
      <w:r w:rsidR="007E3B37" w:rsidRPr="00A72015">
        <w:rPr>
          <w:rFonts w:ascii="Times New Roman" w:eastAsia="Times New Roman" w:hAnsi="Times New Roman" w:cs="Times New Roman"/>
          <w:sz w:val="24"/>
          <w:szCs w:val="24"/>
          <w:lang w:eastAsia="ru-RU"/>
        </w:rPr>
        <w:t xml:space="preserve"> практик в продвижении ведущих брендов платежных систем через спорт на международном и национальном рынках, </w:t>
      </w:r>
      <w:r w:rsidR="00DB7EE5" w:rsidRPr="00A72015">
        <w:rPr>
          <w:rFonts w:ascii="Times New Roman" w:eastAsia="Times New Roman" w:hAnsi="Times New Roman" w:cs="Times New Roman"/>
          <w:sz w:val="24"/>
          <w:szCs w:val="24"/>
          <w:lang w:eastAsia="ru-RU"/>
        </w:rPr>
        <w:t xml:space="preserve">выработка предложений для </w:t>
      </w:r>
      <w:r w:rsidR="003C2AA3" w:rsidRPr="00A72015">
        <w:rPr>
          <w:rFonts w:ascii="Times New Roman" w:eastAsia="Times New Roman" w:hAnsi="Times New Roman" w:cs="Times New Roman"/>
          <w:sz w:val="24"/>
          <w:szCs w:val="24"/>
          <w:lang w:eastAsia="ru-RU"/>
        </w:rPr>
        <w:t>национальной платежной системы</w:t>
      </w:r>
      <w:r w:rsidR="00DB7EE5" w:rsidRPr="00A72015">
        <w:rPr>
          <w:rFonts w:ascii="Times New Roman" w:eastAsia="Times New Roman" w:hAnsi="Times New Roman" w:cs="Times New Roman"/>
          <w:sz w:val="24"/>
          <w:szCs w:val="24"/>
          <w:lang w:eastAsia="ru-RU"/>
        </w:rPr>
        <w:t xml:space="preserve">. Задачи исследования: определение </w:t>
      </w:r>
      <w:r w:rsidR="007E3B37" w:rsidRPr="00A72015">
        <w:rPr>
          <w:rFonts w:ascii="Times New Roman" w:eastAsia="Times New Roman" w:hAnsi="Times New Roman" w:cs="Times New Roman"/>
          <w:sz w:val="24"/>
          <w:szCs w:val="24"/>
          <w:lang w:eastAsia="ru-RU"/>
        </w:rPr>
        <w:t>вариантов эффективного продвижения бренда платежной системы через спорт</w:t>
      </w:r>
      <w:r w:rsidR="00DB7EE5" w:rsidRPr="00A72015">
        <w:rPr>
          <w:rFonts w:ascii="Times New Roman" w:eastAsia="Times New Roman" w:hAnsi="Times New Roman" w:cs="Times New Roman"/>
          <w:sz w:val="24"/>
          <w:szCs w:val="24"/>
          <w:lang w:eastAsia="ru-RU"/>
        </w:rPr>
        <w:t xml:space="preserve">, </w:t>
      </w:r>
      <w:r w:rsidR="007E3B37" w:rsidRPr="00A72015">
        <w:rPr>
          <w:rFonts w:ascii="Times New Roman" w:eastAsia="Times New Roman" w:hAnsi="Times New Roman" w:cs="Times New Roman"/>
          <w:sz w:val="24"/>
          <w:szCs w:val="24"/>
          <w:lang w:eastAsia="ru-RU"/>
        </w:rPr>
        <w:t>выявление проблем приобретенных</w:t>
      </w:r>
      <w:r w:rsidR="00DB7EE5" w:rsidRPr="00A72015">
        <w:rPr>
          <w:rFonts w:ascii="Times New Roman" w:eastAsia="Times New Roman" w:hAnsi="Times New Roman" w:cs="Times New Roman"/>
          <w:sz w:val="24"/>
          <w:szCs w:val="24"/>
          <w:lang w:eastAsia="ru-RU"/>
        </w:rPr>
        <w:t xml:space="preserve"> спонсорских прав и поиск </w:t>
      </w:r>
      <w:r w:rsidR="007E3B37" w:rsidRPr="00A72015">
        <w:rPr>
          <w:rFonts w:ascii="Times New Roman" w:eastAsia="Times New Roman" w:hAnsi="Times New Roman" w:cs="Times New Roman"/>
          <w:sz w:val="24"/>
          <w:szCs w:val="24"/>
          <w:lang w:eastAsia="ru-RU"/>
        </w:rPr>
        <w:t xml:space="preserve">новых </w:t>
      </w:r>
      <w:r w:rsidR="00DB7EE5" w:rsidRPr="00A72015">
        <w:rPr>
          <w:rFonts w:ascii="Times New Roman" w:eastAsia="Times New Roman" w:hAnsi="Times New Roman" w:cs="Times New Roman"/>
          <w:sz w:val="24"/>
          <w:szCs w:val="24"/>
          <w:lang w:eastAsia="ru-RU"/>
        </w:rPr>
        <w:t>возможностей</w:t>
      </w:r>
      <w:r w:rsidR="007E3B37" w:rsidRPr="00A72015">
        <w:rPr>
          <w:rFonts w:ascii="Times New Roman" w:eastAsia="Times New Roman" w:hAnsi="Times New Roman" w:cs="Times New Roman"/>
          <w:sz w:val="24"/>
          <w:szCs w:val="24"/>
          <w:lang w:eastAsia="ru-RU"/>
        </w:rPr>
        <w:t xml:space="preserve"> взаимодействия с аудиторией индустрии спорта</w:t>
      </w:r>
      <w:r w:rsidR="00DB7EE5" w:rsidRPr="00A72015">
        <w:rPr>
          <w:rFonts w:ascii="Times New Roman" w:eastAsia="Times New Roman" w:hAnsi="Times New Roman" w:cs="Times New Roman"/>
          <w:sz w:val="24"/>
          <w:szCs w:val="24"/>
          <w:lang w:eastAsia="ru-RU"/>
        </w:rPr>
        <w:t>. Основными методами, использ</w:t>
      </w:r>
      <w:r w:rsidR="003D5394">
        <w:rPr>
          <w:rFonts w:ascii="Times New Roman" w:eastAsia="Times New Roman" w:hAnsi="Times New Roman" w:cs="Times New Roman"/>
          <w:sz w:val="24"/>
          <w:szCs w:val="24"/>
          <w:lang w:eastAsia="ru-RU"/>
        </w:rPr>
        <w:t>уемыми</w:t>
      </w:r>
      <w:r w:rsidR="00DB7EE5" w:rsidRPr="00A72015">
        <w:rPr>
          <w:rFonts w:ascii="Times New Roman" w:eastAsia="Times New Roman" w:hAnsi="Times New Roman" w:cs="Times New Roman"/>
          <w:sz w:val="24"/>
          <w:szCs w:val="24"/>
          <w:lang w:eastAsia="ru-RU"/>
        </w:rPr>
        <w:t xml:space="preserve"> </w:t>
      </w:r>
      <w:r w:rsidR="003D5394">
        <w:rPr>
          <w:rFonts w:ascii="Times New Roman" w:eastAsia="Times New Roman" w:hAnsi="Times New Roman" w:cs="Times New Roman"/>
          <w:sz w:val="24"/>
          <w:szCs w:val="24"/>
          <w:lang w:eastAsia="ru-RU"/>
        </w:rPr>
        <w:t>в</w:t>
      </w:r>
      <w:r w:rsidR="00DB7EE5" w:rsidRPr="00A72015">
        <w:rPr>
          <w:rFonts w:ascii="Times New Roman" w:eastAsia="Times New Roman" w:hAnsi="Times New Roman" w:cs="Times New Roman"/>
          <w:sz w:val="24"/>
          <w:szCs w:val="24"/>
          <w:lang w:eastAsia="ru-RU"/>
        </w:rPr>
        <w:t xml:space="preserve"> исследовани</w:t>
      </w:r>
      <w:r w:rsidR="003D5394">
        <w:rPr>
          <w:rFonts w:ascii="Times New Roman" w:eastAsia="Times New Roman" w:hAnsi="Times New Roman" w:cs="Times New Roman"/>
          <w:sz w:val="24"/>
          <w:szCs w:val="24"/>
          <w:lang w:eastAsia="ru-RU"/>
        </w:rPr>
        <w:t>и</w:t>
      </w:r>
      <w:r w:rsidR="00DB7EE5" w:rsidRPr="00A72015">
        <w:rPr>
          <w:rFonts w:ascii="Times New Roman" w:eastAsia="Times New Roman" w:hAnsi="Times New Roman" w:cs="Times New Roman"/>
          <w:sz w:val="24"/>
          <w:szCs w:val="24"/>
          <w:lang w:eastAsia="ru-RU"/>
        </w:rPr>
        <w:t>, стали проведение контент-анализа литературных источников, изучение практических решений по оценке спонсорских согла</w:t>
      </w:r>
      <w:r w:rsidR="00A856ED" w:rsidRPr="00A72015">
        <w:rPr>
          <w:rFonts w:ascii="Times New Roman" w:eastAsia="Times New Roman" w:hAnsi="Times New Roman" w:cs="Times New Roman"/>
          <w:sz w:val="24"/>
          <w:szCs w:val="24"/>
          <w:lang w:eastAsia="ru-RU"/>
        </w:rPr>
        <w:t>шений</w:t>
      </w:r>
      <w:r w:rsidR="007E3B37" w:rsidRPr="00A72015">
        <w:rPr>
          <w:rFonts w:ascii="Times New Roman" w:eastAsia="Times New Roman" w:hAnsi="Times New Roman" w:cs="Times New Roman"/>
          <w:sz w:val="24"/>
          <w:szCs w:val="24"/>
          <w:lang w:eastAsia="ru-RU"/>
        </w:rPr>
        <w:t xml:space="preserve"> брендов платежных систем</w:t>
      </w:r>
      <w:r w:rsidR="00DB7EE5" w:rsidRPr="00A72015">
        <w:rPr>
          <w:rFonts w:ascii="Times New Roman" w:eastAsia="Times New Roman" w:hAnsi="Times New Roman" w:cs="Times New Roman"/>
          <w:sz w:val="24"/>
          <w:szCs w:val="24"/>
          <w:lang w:eastAsia="ru-RU"/>
        </w:rPr>
        <w:t xml:space="preserve"> и проведение экспертных оценок.</w:t>
      </w:r>
    </w:p>
    <w:p w:rsidR="00572421" w:rsidRPr="00A72015" w:rsidRDefault="00572421" w:rsidP="00A72015">
      <w:pPr>
        <w:spacing w:after="0" w:line="240" w:lineRule="auto"/>
        <w:ind w:firstLine="708"/>
        <w:rPr>
          <w:rFonts w:ascii="Times New Roman" w:eastAsia="Times New Roman" w:hAnsi="Times New Roman" w:cs="Times New Roman"/>
          <w:sz w:val="24"/>
          <w:szCs w:val="24"/>
          <w:lang w:eastAsia="ru-RU"/>
        </w:rPr>
      </w:pPr>
    </w:p>
    <w:p w:rsidR="00572421" w:rsidRPr="00A72015" w:rsidRDefault="00572421" w:rsidP="00A72015">
      <w:pPr>
        <w:spacing w:after="0" w:line="240" w:lineRule="auto"/>
        <w:ind w:firstLine="708"/>
        <w:rPr>
          <w:rFonts w:ascii="Times New Roman" w:eastAsia="Times New Roman" w:hAnsi="Times New Roman" w:cs="Times New Roman"/>
          <w:b/>
          <w:sz w:val="24"/>
          <w:szCs w:val="24"/>
          <w:lang w:eastAsia="ru-RU"/>
        </w:rPr>
      </w:pPr>
      <w:r w:rsidRPr="00A72015">
        <w:rPr>
          <w:rFonts w:ascii="Times New Roman" w:hAnsi="Times New Roman" w:cs="Times New Roman"/>
          <w:b/>
          <w:sz w:val="24"/>
          <w:szCs w:val="24"/>
        </w:rPr>
        <w:t>Результаты и обсуждение (Results and discussion)</w:t>
      </w:r>
    </w:p>
    <w:p w:rsidR="00DD6234" w:rsidRPr="00C15BB2" w:rsidRDefault="00DD6234" w:rsidP="00A72015">
      <w:pPr>
        <w:spacing w:after="0" w:line="240" w:lineRule="auto"/>
        <w:ind w:firstLine="708"/>
        <w:rPr>
          <w:rFonts w:ascii="Times New Roman" w:hAnsi="Times New Roman" w:cs="Times New Roman"/>
          <w:i/>
          <w:sz w:val="24"/>
          <w:szCs w:val="24"/>
        </w:rPr>
      </w:pPr>
      <w:r w:rsidRPr="00C15BB2">
        <w:rPr>
          <w:rFonts w:ascii="Times New Roman" w:hAnsi="Times New Roman" w:cs="Times New Roman"/>
          <w:bCs/>
          <w:i/>
          <w:sz w:val="24"/>
          <w:szCs w:val="24"/>
        </w:rPr>
        <w:t>Анализ работы платежных систем в мировом спорте</w:t>
      </w:r>
    </w:p>
    <w:p w:rsidR="00DA2560" w:rsidRPr="00A72015" w:rsidRDefault="00DD6234" w:rsidP="00A72015">
      <w:pPr>
        <w:pStyle w:val="my-2"/>
        <w:spacing w:before="0" w:beforeAutospacing="0" w:after="0" w:afterAutospacing="0"/>
        <w:ind w:firstLine="708"/>
        <w:rPr>
          <w:rStyle w:val="inline-flex"/>
        </w:rPr>
      </w:pPr>
      <w:bookmarkStart w:id="0" w:name="_Hlk219915228"/>
      <w:r w:rsidRPr="00A72015">
        <w:t xml:space="preserve">По итогам проведенного исследования были выявлены основные лидеры-бренды платежных систем, активно </w:t>
      </w:r>
      <w:r w:rsidR="003C2AA3" w:rsidRPr="00A72015">
        <w:t>инте</w:t>
      </w:r>
      <w:r w:rsidR="00D65149">
        <w:t>гри</w:t>
      </w:r>
      <w:r w:rsidR="003C2AA3" w:rsidRPr="00A72015">
        <w:t>рующихся</w:t>
      </w:r>
      <w:r w:rsidR="00DA2560" w:rsidRPr="00A72015">
        <w:t xml:space="preserve"> в индустрию спорта</w:t>
      </w:r>
      <w:r w:rsidRPr="00A72015">
        <w:t xml:space="preserve"> в статусе спонсоров и партнеров. Международные платежные системы используют спорт в качестве глобальной платформы для укрепления </w:t>
      </w:r>
      <w:r w:rsidR="00DA2560" w:rsidRPr="00A72015">
        <w:t xml:space="preserve">и продвижения </w:t>
      </w:r>
      <w:r w:rsidRPr="00A72015">
        <w:t xml:space="preserve">бренда, демонстрации технологий и стимулирования транзакционной активности, при этом каждая их них выстраивает собственный фокус по видам спорта, турнирам и типам активаций. В качестве ключевых партнерств выступают Олимпийские и </w:t>
      </w:r>
      <w:r w:rsidR="003C2AA3" w:rsidRPr="00A72015">
        <w:t>Параолимпийские</w:t>
      </w:r>
      <w:r w:rsidRPr="00A72015">
        <w:t xml:space="preserve"> игры, чемпионаты мира по футболу, Формула</w:t>
      </w:r>
      <w:r w:rsidRPr="00A72015">
        <w:noBreakHyphen/>
        <w:t xml:space="preserve">1, крупные теннисные и баскетбольные турниры, а также региональные </w:t>
      </w:r>
      <w:r w:rsidR="00DA2560" w:rsidRPr="00A72015">
        <w:t>мульти спортивные</w:t>
      </w:r>
      <w:r w:rsidRPr="00A72015">
        <w:t xml:space="preserve"> </w:t>
      </w:r>
      <w:r w:rsidR="00DA2560" w:rsidRPr="00A72015">
        <w:t>турниры</w:t>
      </w:r>
      <w:r w:rsidRPr="00A72015">
        <w:t xml:space="preserve"> </w:t>
      </w:r>
      <w:r w:rsidR="00D65149">
        <w:t>на</w:t>
      </w:r>
      <w:r w:rsidRPr="00A72015">
        <w:t xml:space="preserve"> развивающихся рынках</w:t>
      </w:r>
      <w:r w:rsidRPr="00A72015">
        <w:rPr>
          <w:rStyle w:val="inline-flex"/>
        </w:rPr>
        <w:t xml:space="preserve">. </w:t>
      </w:r>
    </w:p>
    <w:p w:rsidR="00DD6234" w:rsidRPr="00A72015" w:rsidRDefault="00DA2560" w:rsidP="00A72015">
      <w:pPr>
        <w:pStyle w:val="my-2"/>
        <w:spacing w:before="0" w:beforeAutospacing="0" w:after="0" w:afterAutospacing="0"/>
        <w:ind w:firstLine="708"/>
        <w:rPr>
          <w:bCs/>
        </w:rPr>
      </w:pPr>
      <w:r w:rsidRPr="00A72015">
        <w:rPr>
          <w:rStyle w:val="inline-flex"/>
        </w:rPr>
        <w:t>Для приобретателя прав первоочередной проблемой является правильный выбор спортивной организации для спонсорства, включая определение вида спорта и далее выбора в нем спортивно</w:t>
      </w:r>
      <w:r w:rsidR="001C2E00">
        <w:rPr>
          <w:rStyle w:val="inline-flex"/>
        </w:rPr>
        <w:t>го</w:t>
      </w:r>
      <w:r w:rsidRPr="00A72015">
        <w:rPr>
          <w:rStyle w:val="inline-flex"/>
        </w:rPr>
        <w:t xml:space="preserve"> </w:t>
      </w:r>
      <w:r w:rsidR="001C2E00">
        <w:rPr>
          <w:rStyle w:val="inline-flex"/>
        </w:rPr>
        <w:t>объекта</w:t>
      </w:r>
      <w:r w:rsidRPr="00A72015">
        <w:rPr>
          <w:rStyle w:val="inline-flex"/>
        </w:rPr>
        <w:t xml:space="preserve">, коим могут </w:t>
      </w:r>
      <w:r w:rsidR="00147705" w:rsidRPr="00A72015">
        <w:rPr>
          <w:rStyle w:val="inline-flex"/>
        </w:rPr>
        <w:t>быть федерация, лига, клуб, аре</w:t>
      </w:r>
      <w:r w:rsidRPr="00A72015">
        <w:rPr>
          <w:rStyle w:val="inline-flex"/>
        </w:rPr>
        <w:t>на или атлет</w:t>
      </w:r>
      <w:r w:rsidR="00C0596D">
        <w:rPr>
          <w:rStyle w:val="inline-flex"/>
        </w:rPr>
        <w:t>.</w:t>
      </w:r>
      <w:r w:rsidR="00C0596D">
        <w:rPr>
          <w:rStyle w:val="aa"/>
        </w:rPr>
        <w:footnoteReference w:id="8"/>
      </w:r>
      <w:r w:rsidRPr="00A72015">
        <w:rPr>
          <w:rStyle w:val="inline-flex"/>
        </w:rPr>
        <w:t xml:space="preserve"> </w:t>
      </w:r>
      <w:r w:rsidR="00DD6234" w:rsidRPr="00A72015">
        <w:rPr>
          <w:rStyle w:val="inline-flex"/>
        </w:rPr>
        <w:t xml:space="preserve">Основными международными </w:t>
      </w:r>
      <w:r w:rsidR="00DD6234" w:rsidRPr="00A72015">
        <w:rPr>
          <w:rStyle w:val="inline-flex"/>
          <w:bCs/>
        </w:rPr>
        <w:t>брендами</w:t>
      </w:r>
      <w:r w:rsidR="00DD6234" w:rsidRPr="00A72015">
        <w:rPr>
          <w:rStyle w:val="inline-flex"/>
        </w:rPr>
        <w:t xml:space="preserve"> </w:t>
      </w:r>
      <w:r w:rsidRPr="00A72015">
        <w:rPr>
          <w:rStyle w:val="inline-flex"/>
        </w:rPr>
        <w:t>в категории «Платежные системы», которые активируются через спорт,</w:t>
      </w:r>
      <w:r w:rsidR="00DD6234" w:rsidRPr="00A72015">
        <w:rPr>
          <w:rStyle w:val="inline-flex"/>
        </w:rPr>
        <w:t xml:space="preserve"> являются </w:t>
      </w:r>
      <w:r w:rsidR="00DD6234" w:rsidRPr="00A72015">
        <w:rPr>
          <w:rStyle w:val="inline-flex"/>
          <w:lang w:val="en-US"/>
        </w:rPr>
        <w:t>VISA</w:t>
      </w:r>
      <w:r w:rsidR="00DD6234" w:rsidRPr="00A72015">
        <w:rPr>
          <w:rStyle w:val="inline-flex"/>
        </w:rPr>
        <w:t xml:space="preserve">, </w:t>
      </w:r>
      <w:r w:rsidR="003C2AA3" w:rsidRPr="00A72015">
        <w:rPr>
          <w:rStyle w:val="inline-flex"/>
          <w:lang w:val="en-US"/>
        </w:rPr>
        <w:t>Mastercard</w:t>
      </w:r>
      <w:r w:rsidR="00DD6234" w:rsidRPr="00A72015">
        <w:rPr>
          <w:rStyle w:val="inline-flex"/>
        </w:rPr>
        <w:t xml:space="preserve">, гораздо меньше сотрудничеств выявлено у </w:t>
      </w:r>
      <w:r w:rsidR="00DD6234" w:rsidRPr="00A72015">
        <w:rPr>
          <w:bCs/>
          <w:lang w:val="en-US"/>
        </w:rPr>
        <w:t>American</w:t>
      </w:r>
      <w:r w:rsidR="00DD6234" w:rsidRPr="00A72015">
        <w:rPr>
          <w:bCs/>
        </w:rPr>
        <w:t xml:space="preserve"> </w:t>
      </w:r>
      <w:r w:rsidR="00DD6234" w:rsidRPr="00A72015">
        <w:rPr>
          <w:bCs/>
          <w:lang w:val="en-US"/>
        </w:rPr>
        <w:t>Express</w:t>
      </w:r>
      <w:r w:rsidR="00DD6234" w:rsidRPr="00A72015">
        <w:rPr>
          <w:bCs/>
        </w:rPr>
        <w:t xml:space="preserve"> (</w:t>
      </w:r>
      <w:r w:rsidR="00DD6234" w:rsidRPr="00A72015">
        <w:rPr>
          <w:bCs/>
          <w:lang w:val="en-US"/>
        </w:rPr>
        <w:t>Amex</w:t>
      </w:r>
      <w:r w:rsidR="00DD6234" w:rsidRPr="00A72015">
        <w:rPr>
          <w:bCs/>
        </w:rPr>
        <w:t xml:space="preserve">) </w:t>
      </w:r>
      <w:r w:rsidR="00DD6234" w:rsidRPr="00A72015">
        <w:t xml:space="preserve">и </w:t>
      </w:r>
      <w:r w:rsidR="003C2AA3" w:rsidRPr="00A72015">
        <w:rPr>
          <w:bCs/>
          <w:lang w:val="en-US"/>
        </w:rPr>
        <w:t>Union</w:t>
      </w:r>
      <w:r w:rsidR="003C2AA3" w:rsidRPr="00A72015">
        <w:rPr>
          <w:bCs/>
        </w:rPr>
        <w:t xml:space="preserve"> </w:t>
      </w:r>
      <w:r w:rsidR="003C2AA3" w:rsidRPr="00A72015">
        <w:rPr>
          <w:bCs/>
          <w:lang w:val="en-US"/>
        </w:rPr>
        <w:t>Pay</w:t>
      </w:r>
      <w:r w:rsidR="00DD6234" w:rsidRPr="00A72015">
        <w:rPr>
          <w:bCs/>
        </w:rPr>
        <w:t xml:space="preserve"> </w:t>
      </w:r>
      <w:r w:rsidR="00DD6234" w:rsidRPr="00A72015">
        <w:rPr>
          <w:bCs/>
          <w:lang w:val="en-US"/>
        </w:rPr>
        <w:t>International</w:t>
      </w:r>
      <w:r w:rsidR="00A924A1" w:rsidRPr="00A72015">
        <w:rPr>
          <w:bCs/>
        </w:rPr>
        <w:t>. В</w:t>
      </w:r>
      <w:r w:rsidRPr="00A72015">
        <w:rPr>
          <w:bCs/>
        </w:rPr>
        <w:t xml:space="preserve"> последние годы активно </w:t>
      </w:r>
      <w:r w:rsidRPr="00A72015">
        <w:rPr>
          <w:bCs/>
        </w:rPr>
        <w:lastRenderedPageBreak/>
        <w:t>продвигать свой бренд через спорт стала российская национальная платежная система «МИР»</w:t>
      </w:r>
      <w:r w:rsidR="00DD6234" w:rsidRPr="00A72015">
        <w:rPr>
          <w:bCs/>
        </w:rPr>
        <w:t>.</w:t>
      </w:r>
      <w:bookmarkEnd w:id="0"/>
    </w:p>
    <w:p w:rsidR="00572421" w:rsidRPr="00A72015" w:rsidRDefault="00572421" w:rsidP="00A72015">
      <w:pPr>
        <w:pStyle w:val="my-2"/>
        <w:spacing w:before="0" w:beforeAutospacing="0" w:after="0" w:afterAutospacing="0"/>
        <w:ind w:firstLine="708"/>
        <w:rPr>
          <w:b/>
          <w:bCs/>
        </w:rPr>
      </w:pPr>
    </w:p>
    <w:p w:rsidR="00DD6234" w:rsidRPr="00FC7AFF" w:rsidRDefault="00DD6234" w:rsidP="00A72015">
      <w:pPr>
        <w:pStyle w:val="my-2"/>
        <w:spacing w:before="0" w:beforeAutospacing="0" w:after="0" w:afterAutospacing="0"/>
        <w:ind w:firstLine="708"/>
        <w:rPr>
          <w:i/>
        </w:rPr>
      </w:pPr>
      <w:r w:rsidRPr="00FC7AFF">
        <w:rPr>
          <w:bCs/>
          <w:i/>
        </w:rPr>
        <w:t>Основные критерии в выборе спортивных организаций</w:t>
      </w:r>
    </w:p>
    <w:p w:rsidR="00DD6234" w:rsidRPr="00A72015" w:rsidRDefault="003C2AA3" w:rsidP="00A72015">
      <w:pPr>
        <w:pStyle w:val="my-2"/>
        <w:spacing w:before="0" w:beforeAutospacing="0" w:after="0" w:afterAutospacing="0"/>
        <w:ind w:firstLine="708"/>
      </w:pPr>
      <w:bookmarkStart w:id="1" w:name="_Hlk219915297"/>
      <w:bookmarkStart w:id="2" w:name="_Hlk219915388"/>
      <w:r w:rsidRPr="00A72015">
        <w:t>Бренды Visa и Mastercard</w:t>
      </w:r>
      <w:r w:rsidR="00DD6234" w:rsidRPr="00A72015">
        <w:t xml:space="preserve"> применяют схожие критерии отбора спортивных организаций и событий для продвижения, ориентируясь на глобальный охват аудитории, платежный потенциал и демонстрацию инноваций в сфере цифровых платежей. Данные критерии обусловлены стратегическими задачами: увеличением транзакционного объема, повышением лояльности держателей карт и укреплением имиджа технологического лидера. Различия обусловлены эксклюзивностью партнерств (Visa с МОК и FIFA) и фокусом на сегментах целевой аудит</w:t>
      </w:r>
      <w:r w:rsidR="00DA2560" w:rsidRPr="00A72015">
        <w:t xml:space="preserve">ории (Mastercard </w:t>
      </w:r>
      <w:r w:rsidR="00CD4A59">
        <w:t>–</w:t>
      </w:r>
      <w:r w:rsidR="00DA2560" w:rsidRPr="00A72015">
        <w:t xml:space="preserve"> на премиум</w:t>
      </w:r>
      <w:r w:rsidR="00DD6234" w:rsidRPr="00A72015">
        <w:t xml:space="preserve"> и цифровых сегментах). Качество платежного и потребительского опыта выступает центральным элементом их спонсорских стратегий.</w:t>
      </w:r>
    </w:p>
    <w:bookmarkEnd w:id="1"/>
    <w:p w:rsidR="00DA2560" w:rsidRPr="00A72015" w:rsidRDefault="00DD6234" w:rsidP="00A72015">
      <w:pPr>
        <w:pStyle w:val="my-2"/>
        <w:spacing w:before="0" w:beforeAutospacing="0" w:after="0" w:afterAutospacing="0"/>
        <w:ind w:firstLine="708"/>
        <w:rPr>
          <w:rStyle w:val="inline-flex"/>
        </w:rPr>
      </w:pPr>
      <w:r w:rsidRPr="00A72015">
        <w:t xml:space="preserve">В структуре спонсорского портфеля </w:t>
      </w:r>
      <w:r w:rsidRPr="00A72015">
        <w:rPr>
          <w:bCs/>
        </w:rPr>
        <w:t>Visa</w:t>
      </w:r>
      <w:r w:rsidRPr="00A72015">
        <w:t xml:space="preserve"> приоритет традиционно отдается крупнейшим международным спортивным событиям, предполагающим эксклюзивные права на предоставление платежных услуг и обладающим значительным глобальным охватом аудитории. </w:t>
      </w:r>
      <w:r w:rsidRPr="00A72015">
        <w:rPr>
          <w:bCs/>
        </w:rPr>
        <w:t>К числу ключевых глобальных спонсорских активов</w:t>
      </w:r>
      <w:r w:rsidRPr="00A72015">
        <w:t xml:space="preserve"> относятся Олимпийские и </w:t>
      </w:r>
      <w:r w:rsidR="003C2AA3" w:rsidRPr="00A72015">
        <w:t>Параолимпийские</w:t>
      </w:r>
      <w:r w:rsidRPr="00A72015">
        <w:t xml:space="preserve"> игры, где данная банковская система прио</w:t>
      </w:r>
      <w:r w:rsidR="00366E7C">
        <w:t xml:space="preserve">брела статус Worldwide Partner </w:t>
      </w:r>
      <w:r w:rsidRPr="00A72015">
        <w:t xml:space="preserve">до 2032 года. В рамках данных проектов Visa обеспечивает эксклюзивный прием карт и внедрение безналичных и бесконтактных технологий на объектах Игр. </w:t>
      </w:r>
      <w:r w:rsidRPr="00A72015">
        <w:rPr>
          <w:rStyle w:val="inline-flex"/>
        </w:rPr>
        <w:t xml:space="preserve">К стратегически важным спортивным мероприятиям относятся </w:t>
      </w:r>
      <w:r w:rsidRPr="00A72015">
        <w:t>чемпионаты мира по футболу под эгидой FIFA (мужские и женские турниры), рассматриваемые как «четырехлетний глобальный спортивный цикл» для масштабирования спонсорской модели, опробованной на Олимпиадах (концерты-открытия, работа с атлетами</w:t>
      </w:r>
      <w:r w:rsidR="00366E7C">
        <w:t>-</w:t>
      </w:r>
      <w:r w:rsidRPr="00A72015">
        <w:t>амбассадорами, поддержка малого бизнеса)</w:t>
      </w:r>
      <w:r w:rsidR="00366E7C">
        <w:t>.</w:t>
      </w:r>
      <w:r w:rsidRPr="00A72015">
        <w:rPr>
          <w:rStyle w:val="inline-flex"/>
        </w:rPr>
        <w:t xml:space="preserve"> </w:t>
      </w:r>
    </w:p>
    <w:p w:rsidR="00DD6234" w:rsidRPr="00A72015" w:rsidRDefault="00DD6234" w:rsidP="00A72015">
      <w:pPr>
        <w:pStyle w:val="my-2"/>
        <w:spacing w:before="0" w:beforeAutospacing="0" w:after="0" w:afterAutospacing="0"/>
        <w:ind w:firstLine="708"/>
        <w:rPr>
          <w:rStyle w:val="inline-flex"/>
        </w:rPr>
      </w:pPr>
      <w:r w:rsidRPr="00A72015">
        <w:rPr>
          <w:rStyle w:val="inline-flex"/>
        </w:rPr>
        <w:t xml:space="preserve">В течение 30-ти лет бренд является спонсором Национальной футбольной лиги (с 1995 года), будучи эксклюзивным поставщиком платежных услуг для NFL и ее официальных мероприятий. Завершение долгосрочного контракта в данном статусе и переформатирование целей в рамках лиги произойдет в марте 2026 года. Компания приняла решение инвестировать </w:t>
      </w:r>
      <w:r w:rsidRPr="00A72015">
        <w:t xml:space="preserve">в партнерства команд, игроков и создателей </w:t>
      </w:r>
      <w:r w:rsidRPr="00A72015">
        <w:rPr>
          <w:lang w:val="en-US"/>
        </w:rPr>
        <w:t>NFL</w:t>
      </w:r>
      <w:r w:rsidRPr="00A72015">
        <w:t xml:space="preserve">, которые, по </w:t>
      </w:r>
      <w:r w:rsidR="00D139FD">
        <w:t>ее</w:t>
      </w:r>
      <w:r w:rsidRPr="00A72015">
        <w:t xml:space="preserve"> мнению, лучше соответствуют маркетинговой стратегии</w:t>
      </w:r>
      <w:r w:rsidRPr="00A72015">
        <w:rPr>
          <w:rStyle w:val="aa"/>
        </w:rPr>
        <w:footnoteReference w:id="9"/>
      </w:r>
      <w:r w:rsidRPr="00A72015">
        <w:rPr>
          <w:rStyle w:val="inline-flex"/>
        </w:rPr>
        <w:t xml:space="preserve">. </w:t>
      </w:r>
      <w:r w:rsidRPr="00A72015">
        <w:rPr>
          <w:bCs/>
        </w:rPr>
        <w:t>Цели Visa</w:t>
      </w:r>
      <w:r w:rsidRPr="00A72015">
        <w:t xml:space="preserve"> включают укрепление позиционирования как технологического лидера в цифровых платежах, рост безналичной доли транзакций на спортивных </w:t>
      </w:r>
      <w:r w:rsidR="003173B0">
        <w:t>объектах, а также создание «fan-</w:t>
      </w:r>
      <w:r w:rsidRPr="00A72015">
        <w:t xml:space="preserve">first» опыта через быстрые и безопасные платежи и контентные форматы. </w:t>
      </w:r>
      <w:r w:rsidRPr="00A72015">
        <w:rPr>
          <w:bCs/>
        </w:rPr>
        <w:t>Среди ярких активаций</w:t>
      </w:r>
      <w:r w:rsidRPr="00A72015">
        <w:rPr>
          <w:b/>
          <w:bCs/>
        </w:rPr>
        <w:t xml:space="preserve"> </w:t>
      </w:r>
      <w:r w:rsidRPr="00A72015">
        <w:t>последних лет отмечается концерт</w:t>
      </w:r>
      <w:r w:rsidR="003173B0">
        <w:t>-</w:t>
      </w:r>
      <w:r w:rsidRPr="00A72015">
        <w:t xml:space="preserve">открытие Игр в Лувре с участием Post Malone и возможностью просмотра эксклюзивной трансляции ОИ-2024 на платформе </w:t>
      </w:r>
      <w:r w:rsidRPr="00A72015">
        <w:rPr>
          <w:lang w:val="en-US"/>
        </w:rPr>
        <w:t>Roblox</w:t>
      </w:r>
      <w:r w:rsidR="003173B0">
        <w:t>.</w:t>
      </w:r>
      <w:r w:rsidR="003173B0">
        <w:rPr>
          <w:rStyle w:val="aa"/>
        </w:rPr>
        <w:footnoteReference w:id="10"/>
      </w:r>
      <w:r w:rsidRPr="00A72015">
        <w:rPr>
          <w:rStyle w:val="inline-flex"/>
        </w:rPr>
        <w:t xml:space="preserve"> </w:t>
      </w:r>
    </w:p>
    <w:p w:rsidR="00DA2560" w:rsidRPr="00A72015" w:rsidRDefault="00DD6234" w:rsidP="00A72015">
      <w:pPr>
        <w:pStyle w:val="my-2"/>
        <w:spacing w:before="0" w:beforeAutospacing="0" w:after="0" w:afterAutospacing="0"/>
        <w:ind w:firstLine="708"/>
      </w:pPr>
      <w:bookmarkStart w:id="3" w:name="_Hlk219915487"/>
      <w:bookmarkEnd w:id="2"/>
      <w:r w:rsidRPr="00A72015">
        <w:rPr>
          <w:bCs/>
        </w:rPr>
        <w:t xml:space="preserve">Mastercard </w:t>
      </w:r>
      <w:r w:rsidRPr="00A72015">
        <w:t xml:space="preserve">последовательно реализует стратегию спортивного спонсорства, ориентированную на глобальные проекты с высоким уровнем эмоционального вовлечения и премиальной аудиторией, избегая прямой конкуренции с эксклюзивными активами Visa (МОК, FIFA). Спонсорский портфель компании включает: UEFA Champions League, где Mastercard обладает долгосрочным статусом официального партнера с эксклюзивными правами на предпродажу билетов, VIP-доступ для держателей карт и сотрудничество в реализации программы </w:t>
      </w:r>
      <w:r w:rsidRPr="00A72015">
        <w:rPr>
          <w:color w:val="141413"/>
        </w:rPr>
        <w:t xml:space="preserve">Фонда помощи детям УЕФА с 2020 года. </w:t>
      </w:r>
      <w:r w:rsidRPr="00A72015">
        <w:t>Это обеспечивает ежегодный охват миллионов состоятельных потребителей, розыгрыши поездок на финальные матчи, предоставление эксклюзивного контента, а также cashback-программы для более чем 10 млн держателей карт ежегодно. Аналогично, в Rugby World Cup, с которым Mastercard выступала глобальным партнером с 2008 года (с продле</w:t>
      </w:r>
      <w:r w:rsidR="00215D67">
        <w:t xml:space="preserve">нием на турниры 2019 и </w:t>
      </w:r>
      <w:r w:rsidR="00215D67">
        <w:lastRenderedPageBreak/>
        <w:t>2023 гг.</w:t>
      </w:r>
      <w:r w:rsidRPr="00A72015">
        <w:t>), позиционируя регби как стратегическую платформу для глобального охвата и взаимодействия с премиальной международной аудиторией</w:t>
      </w:r>
      <w:r w:rsidRPr="00A72015">
        <w:rPr>
          <w:rStyle w:val="aa"/>
        </w:rPr>
        <w:footnoteReference w:id="11"/>
      </w:r>
      <w:r w:rsidRPr="00A72015">
        <w:t xml:space="preserve">.  </w:t>
      </w:r>
    </w:p>
    <w:p w:rsidR="00DD6234" w:rsidRPr="00A72015" w:rsidRDefault="00DD6234" w:rsidP="00A72015">
      <w:pPr>
        <w:pStyle w:val="my-2"/>
        <w:spacing w:before="0" w:beforeAutospacing="0" w:after="0" w:afterAutospacing="0"/>
        <w:ind w:firstLine="708"/>
        <w:rPr>
          <w:rStyle w:val="inline-flex"/>
        </w:rPr>
      </w:pPr>
      <w:r w:rsidRPr="00A72015">
        <w:t xml:space="preserve">С 2021 по 2025 годы </w:t>
      </w:r>
      <w:r w:rsidRPr="00A72015">
        <w:rPr>
          <w:lang w:val="en-US"/>
        </w:rPr>
        <w:t>Mastercard</w:t>
      </w:r>
      <w:r w:rsidRPr="00A72015">
        <w:t xml:space="preserve"> заключила партнерс</w:t>
      </w:r>
      <w:r w:rsidR="00215D67">
        <w:t>тво с World Rugby, направленное</w:t>
      </w:r>
      <w:r w:rsidRPr="00A72015">
        <w:t xml:space="preserve"> на ускорение развития программы «Женщины в регби» с целью реализации амбициозного стратегического плана международной федерации «Ускорение развития программы «Женщины в регби» на 2017–2025 годы. Особое место в портфеле занимает автоспорт: долгосрочное сотрудничество с Red Bull Racing в Формуле-1 и расширение до титульного спонсорства McLaren с 2026 г. (McLaren Mastercard F1 Team, контракт на $100 млн/год). В рамках этого партнерства реализуется брендирование гоночных болидов, создание фан-зон с персонализацией продукции и hospitality-пакетов на этапах Гран-при. Также Mastercard представит эксклюзивную программу «Team Priceless» </w:t>
      </w:r>
      <w:r w:rsidR="009B43F8">
        <w:t>–</w:t>
      </w:r>
      <w:r w:rsidRPr="00A72015">
        <w:t xml:space="preserve"> глобальную инициативу, которая позволит фанатам Papaya сближаться с командой и событиями на протяжении всего календаря гонок, а также получить тщательно отобранный набор мероприятий. Mastercard первой из платежных систем вошла в сегмент киберспорта, </w:t>
      </w:r>
      <w:r w:rsidRPr="00A72015">
        <w:rPr>
          <w:shd w:val="clear" w:color="auto" w:fill="FDFDFD"/>
        </w:rPr>
        <w:t>заключив договор с производителем компьютерных игр Riot Games. Благодаря контракту</w:t>
      </w:r>
      <w:r w:rsidRPr="00A72015">
        <w:t xml:space="preserve"> бренд стал глобальным спонсором League of Legends Esports (с 2018 г., включая MSI, All-Stars и Worlds), в рамках которого разработаны ко-брендовые карты в регионе APAC (с 2018 г. по настоящее время) и VIP-активации для фанатов: доступ за кулисы и тестирование геймерского оборудования.</w:t>
      </w:r>
      <w:r w:rsidRPr="00A72015">
        <w:rPr>
          <w:rStyle w:val="inline-flex"/>
        </w:rPr>
        <w:t xml:space="preserve"> </w:t>
      </w:r>
    </w:p>
    <w:bookmarkEnd w:id="3"/>
    <w:p w:rsidR="00DA2560" w:rsidRPr="00A72015" w:rsidRDefault="00DD6234" w:rsidP="00A72015">
      <w:pPr>
        <w:pStyle w:val="my-2"/>
        <w:spacing w:before="0" w:beforeAutospacing="0" w:after="0" w:afterAutospacing="0"/>
        <w:ind w:firstLine="708"/>
      </w:pPr>
      <w:r w:rsidRPr="00A72015">
        <w:t>Что касается</w:t>
      </w:r>
      <w:r w:rsidRPr="00A72015">
        <w:rPr>
          <w:b/>
          <w:bCs/>
        </w:rPr>
        <w:t xml:space="preserve"> </w:t>
      </w:r>
      <w:r w:rsidR="00DA2560" w:rsidRPr="00A72015">
        <w:rPr>
          <w:bCs/>
        </w:rPr>
        <w:t>American Express (Am</w:t>
      </w:r>
      <w:r w:rsidR="00DA2560" w:rsidRPr="00A72015">
        <w:rPr>
          <w:bCs/>
          <w:lang w:val="en-US"/>
        </w:rPr>
        <w:t>E</w:t>
      </w:r>
      <w:r w:rsidRPr="00A72015">
        <w:rPr>
          <w:bCs/>
        </w:rPr>
        <w:t>x),</w:t>
      </w:r>
      <w:r w:rsidRPr="00A72015">
        <w:rPr>
          <w:b/>
          <w:bCs/>
        </w:rPr>
        <w:t xml:space="preserve"> </w:t>
      </w:r>
      <w:r w:rsidRPr="00A72015">
        <w:t xml:space="preserve">то данная банковская система представляет собой единую платежную систему и бренд, выпускающий собственные карты, в отличие от Visa и Mastercard, выступающих сетями для банков-эмитентов. </w:t>
      </w:r>
      <w:r w:rsidRPr="00A72015">
        <w:rPr>
          <w:bCs/>
        </w:rPr>
        <w:t>В рамках маркетинговой стратегии</w:t>
      </w:r>
      <w:r w:rsidRPr="00A72015">
        <w:t xml:space="preserve"> American Express спорт последовательно рассматривается как составная часть широкой платформы, ориентированной на членство и клиентские впечатления (membership &amp; experiences), с акцентом на предоставление премиум доступа и высокого уровня сервиса держателям карт. </w:t>
      </w:r>
      <w:r w:rsidRPr="00A72015">
        <w:rPr>
          <w:bCs/>
        </w:rPr>
        <w:t>Спонсорский портфель компании включает</w:t>
      </w:r>
      <w:r w:rsidRPr="00A72015">
        <w:t xml:space="preserve"> партнерства в теннисе, баскетболе, гольфе и автоспорте, при этом в последние годы спортивное направление вновь приобретает статус одной из приоритетных зон роста. </w:t>
      </w:r>
    </w:p>
    <w:p w:rsidR="00DA2560" w:rsidRPr="00A72015" w:rsidRDefault="00DD6234" w:rsidP="00A72015">
      <w:pPr>
        <w:pStyle w:val="my-2"/>
        <w:spacing w:before="0" w:beforeAutospacing="0" w:after="0" w:afterAutospacing="0"/>
        <w:ind w:firstLine="708"/>
      </w:pPr>
      <w:r w:rsidRPr="00A72015">
        <w:t>В теннисе American Express на протяжении длительного времени устойчиво ассоциируется с турниром US Open, в рамках которого реализуются масштабные фан</w:t>
      </w:r>
      <w:r w:rsidR="00043161">
        <w:t>-</w:t>
      </w:r>
      <w:r w:rsidRPr="00A72015">
        <w:t>зоны, программы приоритетного (раннего) доступа к билетам, а также специализированные сервисы для держателей карт на территории теннисного парка. В автоспорте в 2023</w:t>
      </w:r>
      <w:r w:rsidR="00043161">
        <w:t>-</w:t>
      </w:r>
      <w:r w:rsidRPr="00A72015">
        <w:t>2024 гг. компания получила статус официального платежного партнера чемпионата Формулы</w:t>
      </w:r>
      <w:r w:rsidR="00043161">
        <w:t>-</w:t>
      </w:r>
      <w:r w:rsidRPr="00A72015">
        <w:t>1 сначала на рынке США, после чего соглашение было распространено на глобальный уровень, охватывая все регионы проведения этапов гран</w:t>
      </w:r>
      <w:r w:rsidR="00043161">
        <w:t>-</w:t>
      </w:r>
      <w:r w:rsidRPr="00A72015">
        <w:t>при</w:t>
      </w:r>
      <w:r w:rsidRPr="00A72015">
        <w:rPr>
          <w:rStyle w:val="inline-flex"/>
        </w:rPr>
        <w:t>.</w:t>
      </w:r>
      <w:r w:rsidRPr="00A72015">
        <w:t xml:space="preserve"> Также в 2026 году бренд заменит лидера платежных систем </w:t>
      </w:r>
      <w:r w:rsidRPr="00A72015">
        <w:rPr>
          <w:lang w:val="en-US"/>
        </w:rPr>
        <w:t>VISA</w:t>
      </w:r>
      <w:r w:rsidRPr="00A72015">
        <w:t xml:space="preserve"> в </w:t>
      </w:r>
      <w:r w:rsidRPr="00A72015">
        <w:rPr>
          <w:lang w:val="en-US"/>
        </w:rPr>
        <w:t>NFL</w:t>
      </w:r>
      <w:r w:rsidRPr="00A72015">
        <w:t>. Компания возглавит категорию спонсорства кредитных и платежных карт в рамках сделки стоимостью около $910 млн в течение семи лет</w:t>
      </w:r>
      <w:r w:rsidRPr="00A72015">
        <w:rPr>
          <w:rStyle w:val="aa"/>
        </w:rPr>
        <w:footnoteReference w:id="12"/>
      </w:r>
      <w:r w:rsidRPr="00A72015">
        <w:t>.</w:t>
      </w:r>
      <w:r w:rsidR="00DA2560" w:rsidRPr="00A72015">
        <w:t xml:space="preserve"> </w:t>
      </w:r>
    </w:p>
    <w:p w:rsidR="00DD6234" w:rsidRPr="00A72015" w:rsidRDefault="00DD6234" w:rsidP="00A72015">
      <w:pPr>
        <w:pStyle w:val="my-2"/>
        <w:spacing w:before="0" w:beforeAutospacing="0" w:after="0" w:afterAutospacing="0"/>
        <w:ind w:firstLine="708"/>
      </w:pPr>
      <w:r w:rsidRPr="00A72015">
        <w:rPr>
          <w:bCs/>
        </w:rPr>
        <w:t>Стратегические цели</w:t>
      </w:r>
      <w:r w:rsidRPr="00A72015">
        <w:t xml:space="preserve"> American Express (Amex) включают привлечение новых клиентов и омоложение клиентской базы (особенно за счет сегмента 18–34 лет, активно потребляющего контент Формулы-1), демонстрацию уникальной ценности членства в системе, а также повышение вовлеченности аудитории через предоставление премиум-фанатских опытов. В рамках проекта гонок участники American Express Card получат доступ к ряду преимуществ и бонусов, включая билеты на предпродажу Amex, билеты на Paddock Club и Grandstand. Бренд также будет принимать бизнес-клиентов и партнеров через определенные услуги в сфере гостеприимства</w:t>
      </w:r>
      <w:r w:rsidR="003E1AAD">
        <w:t>.</w:t>
      </w:r>
    </w:p>
    <w:p w:rsidR="00DD6234" w:rsidRPr="00A72015" w:rsidRDefault="00DD6234" w:rsidP="00A72015">
      <w:pPr>
        <w:pStyle w:val="my-2"/>
        <w:spacing w:before="0" w:beforeAutospacing="0" w:after="0" w:afterAutospacing="0"/>
        <w:ind w:firstLine="708"/>
        <w:rPr>
          <w:rStyle w:val="inline-flex"/>
        </w:rPr>
      </w:pPr>
      <w:r w:rsidRPr="00A72015">
        <w:rPr>
          <w:bCs/>
        </w:rPr>
        <w:lastRenderedPageBreak/>
        <w:t>UnionPay International</w:t>
      </w:r>
      <w:r w:rsidRPr="00A72015">
        <w:t xml:space="preserve"> выстраивает спортивный портфель через региональные </w:t>
      </w:r>
      <w:r w:rsidR="004C2185" w:rsidRPr="00A72015">
        <w:t>мульти спортивные</w:t>
      </w:r>
      <w:r w:rsidRPr="00A72015">
        <w:t xml:space="preserve"> соревнования и национальные сборные, фокусируясь на азиатских рынках с высоким потенциалом роста безналичных платежей. </w:t>
      </w:r>
      <w:r w:rsidRPr="00A72015">
        <w:rPr>
          <w:bCs/>
        </w:rPr>
        <w:t>Стратегические цели</w:t>
      </w:r>
      <w:r w:rsidRPr="00A72015">
        <w:t xml:space="preserve"> UnionPay International заключаются в укреплении присутствия бренда на рынках Юго-Восточной Азии, повышении доли приема карт (acceptance rate) и уровня транзакционной активности, а также в ассоциации бренда с ценностями мужества, дружбы и национальной гордости. </w:t>
      </w:r>
      <w:r w:rsidRPr="00A72015">
        <w:rPr>
          <w:bCs/>
        </w:rPr>
        <w:t>В рамках реализации данных целей проводились следующие активации:</w:t>
      </w:r>
      <w:r w:rsidRPr="00A72015">
        <w:t xml:space="preserve"> финансовая поддержка сборных (например, Вьетнама и Камбоджи) и денежные бонусы медалистам и футбольным сборным. Важнейшим кейсом для компании является спонсорство 28</w:t>
      </w:r>
      <w:r w:rsidRPr="00A72015">
        <w:noBreakHyphen/>
        <w:t>х Игр Юго</w:t>
      </w:r>
      <w:r w:rsidRPr="00A72015">
        <w:noBreakHyphen/>
        <w:t>Восточной Азии (SEA Games) в Сингапуре (размер сделки составил $1 млн), где UnionPay выступила официальной платежной системой. Здесь проводилась реализация масштабных потребительских промо, бесплатные полеты на воздушном шаре и другие развлекательные активности на фан</w:t>
      </w:r>
      <w:r w:rsidR="00B239BC">
        <w:t>-</w:t>
      </w:r>
      <w:r w:rsidRPr="00A72015">
        <w:t xml:space="preserve">фестивалях, что усиливало видимость бренда и стимулировало использование карт на локациях Игр. Также </w:t>
      </w:r>
      <w:r w:rsidRPr="00A72015">
        <w:rPr>
          <w:color w:val="161616"/>
        </w:rPr>
        <w:t>Компания покрыла расходы на рекламу Игр на 300 автобусах, которые использовались для перевозки более 7 000 спортсменов и официальных ли</w:t>
      </w:r>
      <w:r w:rsidRPr="00A72015">
        <w:t>ц</w:t>
      </w:r>
      <w:r w:rsidRPr="00A72015">
        <w:rPr>
          <w:rStyle w:val="aa"/>
        </w:rPr>
        <w:footnoteReference w:id="13"/>
      </w:r>
      <w:r w:rsidRPr="00A72015">
        <w:rPr>
          <w:rStyle w:val="inline-flex"/>
        </w:rPr>
        <w:t xml:space="preserve">. </w:t>
      </w:r>
    </w:p>
    <w:p w:rsidR="00572421" w:rsidRPr="00526DB8" w:rsidRDefault="00BA61BF" w:rsidP="00A72015">
      <w:pPr>
        <w:spacing w:after="0" w:line="240" w:lineRule="auto"/>
        <w:ind w:firstLine="708"/>
        <w:rPr>
          <w:rStyle w:val="inline-flex"/>
          <w:rFonts w:ascii="Times New Roman" w:eastAsia="Times New Roman" w:hAnsi="Times New Roman" w:cs="Times New Roman"/>
          <w:sz w:val="24"/>
          <w:szCs w:val="24"/>
          <w:lang w:eastAsia="ru-RU"/>
        </w:rPr>
      </w:pPr>
      <w:r w:rsidRPr="00526DB8">
        <w:rPr>
          <w:rStyle w:val="inline-flex"/>
          <w:rFonts w:ascii="Times New Roman" w:eastAsia="Times New Roman" w:hAnsi="Times New Roman" w:cs="Times New Roman"/>
          <w:sz w:val="24"/>
          <w:szCs w:val="24"/>
          <w:lang w:eastAsia="ru-RU"/>
        </w:rPr>
        <w:t>При сравнении продвижения платежных</w:t>
      </w:r>
      <w:r w:rsidR="002E7348" w:rsidRPr="00526DB8">
        <w:rPr>
          <w:rStyle w:val="inline-flex"/>
          <w:rFonts w:ascii="Times New Roman" w:eastAsia="Times New Roman" w:hAnsi="Times New Roman" w:cs="Times New Roman"/>
          <w:sz w:val="24"/>
          <w:szCs w:val="24"/>
          <w:lang w:eastAsia="ru-RU"/>
        </w:rPr>
        <w:t xml:space="preserve"> </w:t>
      </w:r>
      <w:r w:rsidRPr="00526DB8">
        <w:rPr>
          <w:rStyle w:val="inline-flex"/>
          <w:rFonts w:ascii="Times New Roman" w:eastAsia="Times New Roman" w:hAnsi="Times New Roman" w:cs="Times New Roman"/>
          <w:sz w:val="24"/>
          <w:szCs w:val="24"/>
          <w:lang w:eastAsia="ru-RU"/>
        </w:rPr>
        <w:t xml:space="preserve">систем Visa, Mastercard и «МИР» </w:t>
      </w:r>
      <w:r w:rsidR="002E11A1" w:rsidRPr="00526DB8">
        <w:rPr>
          <w:rStyle w:val="inline-flex"/>
          <w:rFonts w:ascii="Times New Roman" w:eastAsia="Times New Roman" w:hAnsi="Times New Roman" w:cs="Times New Roman"/>
          <w:i/>
          <w:sz w:val="24"/>
          <w:szCs w:val="24"/>
          <w:lang w:eastAsia="ru-RU"/>
        </w:rPr>
        <w:t>(</w:t>
      </w:r>
      <w:r w:rsidR="00526DB8" w:rsidRPr="00526DB8">
        <w:rPr>
          <w:rStyle w:val="inline-flex"/>
          <w:rFonts w:ascii="Times New Roman" w:eastAsia="Times New Roman" w:hAnsi="Times New Roman" w:cs="Times New Roman"/>
          <w:i/>
          <w:sz w:val="24"/>
          <w:szCs w:val="24"/>
          <w:lang w:eastAsia="ru-RU"/>
        </w:rPr>
        <w:t>табл.</w:t>
      </w:r>
      <w:r w:rsidR="002E7348" w:rsidRPr="00526DB8">
        <w:rPr>
          <w:rStyle w:val="inline-flex"/>
          <w:rFonts w:ascii="Times New Roman" w:eastAsia="Times New Roman" w:hAnsi="Times New Roman" w:cs="Times New Roman"/>
          <w:i/>
          <w:sz w:val="24"/>
          <w:szCs w:val="24"/>
          <w:lang w:eastAsia="ru-RU"/>
        </w:rPr>
        <w:t xml:space="preserve"> 1</w:t>
      </w:r>
      <w:r w:rsidRPr="00526DB8">
        <w:rPr>
          <w:rStyle w:val="inline-flex"/>
          <w:rFonts w:ascii="Times New Roman" w:eastAsia="Times New Roman" w:hAnsi="Times New Roman" w:cs="Times New Roman"/>
          <w:i/>
          <w:sz w:val="24"/>
          <w:szCs w:val="24"/>
          <w:lang w:eastAsia="ru-RU"/>
        </w:rPr>
        <w:t>)</w:t>
      </w:r>
      <w:r w:rsidR="002E7348" w:rsidRPr="00526DB8">
        <w:rPr>
          <w:rStyle w:val="inline-flex"/>
          <w:rFonts w:ascii="Times New Roman" w:eastAsia="Times New Roman" w:hAnsi="Times New Roman" w:cs="Times New Roman"/>
          <w:sz w:val="24"/>
          <w:szCs w:val="24"/>
          <w:lang w:eastAsia="ru-RU"/>
        </w:rPr>
        <w:t xml:space="preserve"> через международные </w:t>
      </w:r>
      <w:r w:rsidR="00446BC7" w:rsidRPr="00526DB8">
        <w:rPr>
          <w:rStyle w:val="inline-flex"/>
          <w:rFonts w:ascii="Times New Roman" w:eastAsia="Times New Roman" w:hAnsi="Times New Roman" w:cs="Times New Roman"/>
          <w:sz w:val="24"/>
          <w:szCs w:val="24"/>
          <w:lang w:eastAsia="ru-RU"/>
        </w:rPr>
        <w:t xml:space="preserve">спортивные </w:t>
      </w:r>
      <w:r w:rsidR="002E7348" w:rsidRPr="00526DB8">
        <w:rPr>
          <w:rStyle w:val="inline-flex"/>
          <w:rFonts w:ascii="Times New Roman" w:eastAsia="Times New Roman" w:hAnsi="Times New Roman" w:cs="Times New Roman"/>
          <w:sz w:val="24"/>
          <w:szCs w:val="24"/>
          <w:lang w:eastAsia="ru-RU"/>
        </w:rPr>
        <w:t>события</w:t>
      </w:r>
      <w:r w:rsidR="00446BC7" w:rsidRPr="00526DB8">
        <w:rPr>
          <w:rStyle w:val="inline-flex"/>
          <w:rFonts w:ascii="Times New Roman" w:eastAsia="Times New Roman" w:hAnsi="Times New Roman" w:cs="Times New Roman"/>
          <w:sz w:val="24"/>
          <w:szCs w:val="24"/>
          <w:lang w:eastAsia="ru-RU"/>
        </w:rPr>
        <w:t xml:space="preserve"> за пределами российского рынка</w:t>
      </w:r>
      <w:r w:rsidRPr="00526DB8">
        <w:rPr>
          <w:rStyle w:val="inline-flex"/>
          <w:rFonts w:ascii="Times New Roman" w:eastAsia="Times New Roman" w:hAnsi="Times New Roman" w:cs="Times New Roman"/>
          <w:sz w:val="24"/>
          <w:szCs w:val="24"/>
          <w:lang w:eastAsia="ru-RU"/>
        </w:rPr>
        <w:t xml:space="preserve"> можно выделить высокий статус соревнований, которые спонсируют Visa и Mastercard, что позволяет им коммуницировать с большими аудиториями болельщиков в этих видах спорта, получать </w:t>
      </w:r>
      <w:r w:rsidR="00EE2275" w:rsidRPr="00526DB8">
        <w:rPr>
          <w:rStyle w:val="inline-flex"/>
          <w:rFonts w:ascii="Times New Roman" w:eastAsia="Times New Roman" w:hAnsi="Times New Roman" w:cs="Times New Roman"/>
          <w:sz w:val="24"/>
          <w:szCs w:val="24"/>
          <w:lang w:eastAsia="ru-RU"/>
        </w:rPr>
        <w:t>возможности по активациям своих</w:t>
      </w:r>
      <w:r w:rsidRPr="00526DB8">
        <w:rPr>
          <w:rStyle w:val="inline-flex"/>
          <w:rFonts w:ascii="Times New Roman" w:eastAsia="Times New Roman" w:hAnsi="Times New Roman" w:cs="Times New Roman"/>
          <w:sz w:val="24"/>
          <w:szCs w:val="24"/>
          <w:lang w:eastAsia="ru-RU"/>
        </w:rPr>
        <w:t xml:space="preserve"> </w:t>
      </w:r>
      <w:r w:rsidR="00EE2275" w:rsidRPr="00526DB8">
        <w:rPr>
          <w:rStyle w:val="inline-flex"/>
          <w:rFonts w:ascii="Times New Roman" w:eastAsia="Times New Roman" w:hAnsi="Times New Roman" w:cs="Times New Roman"/>
          <w:sz w:val="24"/>
          <w:szCs w:val="24"/>
          <w:lang w:eastAsia="ru-RU"/>
        </w:rPr>
        <w:t xml:space="preserve">брендов </w:t>
      </w:r>
      <w:r w:rsidRPr="00526DB8">
        <w:rPr>
          <w:rStyle w:val="inline-flex"/>
          <w:rFonts w:ascii="Times New Roman" w:eastAsia="Times New Roman" w:hAnsi="Times New Roman" w:cs="Times New Roman"/>
          <w:sz w:val="24"/>
          <w:szCs w:val="24"/>
          <w:lang w:eastAsia="ru-RU"/>
        </w:rPr>
        <w:t xml:space="preserve">на спортивных аренах, теле и интернет трансляциях. </w:t>
      </w:r>
      <w:r w:rsidR="00A97AD9" w:rsidRPr="00526DB8">
        <w:rPr>
          <w:rStyle w:val="inline-flex"/>
          <w:rFonts w:ascii="Times New Roman" w:eastAsia="Times New Roman" w:hAnsi="Times New Roman" w:cs="Times New Roman"/>
          <w:sz w:val="24"/>
          <w:szCs w:val="24"/>
          <w:lang w:eastAsia="ru-RU"/>
        </w:rPr>
        <w:t>Отсутствие подобных кейсов у бренда «МИР» может стать зоной роста в будущем</w:t>
      </w:r>
      <w:r w:rsidR="00EE2275" w:rsidRPr="00526DB8">
        <w:rPr>
          <w:rStyle w:val="inline-flex"/>
          <w:rFonts w:ascii="Times New Roman" w:eastAsia="Times New Roman" w:hAnsi="Times New Roman" w:cs="Times New Roman"/>
          <w:sz w:val="24"/>
          <w:szCs w:val="24"/>
          <w:lang w:eastAsia="ru-RU"/>
        </w:rPr>
        <w:t xml:space="preserve">. </w:t>
      </w:r>
      <w:r w:rsidR="002E7348" w:rsidRPr="00526DB8">
        <w:rPr>
          <w:rStyle w:val="inline-flex"/>
          <w:rFonts w:ascii="Times New Roman" w:eastAsia="Times New Roman" w:hAnsi="Times New Roman" w:cs="Times New Roman"/>
          <w:sz w:val="24"/>
          <w:szCs w:val="24"/>
          <w:lang w:eastAsia="ru-RU"/>
        </w:rPr>
        <w:t xml:space="preserve">  </w:t>
      </w:r>
    </w:p>
    <w:p w:rsidR="002E7348" w:rsidRPr="00526DB8" w:rsidRDefault="002E7348" w:rsidP="00A72015">
      <w:pPr>
        <w:spacing w:after="0" w:line="240" w:lineRule="auto"/>
        <w:ind w:firstLine="708"/>
        <w:rPr>
          <w:rStyle w:val="inline-flex"/>
          <w:rFonts w:ascii="Times New Roman" w:eastAsia="Times New Roman" w:hAnsi="Times New Roman" w:cs="Times New Roman"/>
          <w:sz w:val="24"/>
          <w:szCs w:val="24"/>
          <w:lang w:eastAsia="ru-RU"/>
        </w:rPr>
      </w:pPr>
    </w:p>
    <w:p w:rsidR="00526DB8" w:rsidRPr="00526DB8" w:rsidRDefault="002E7348" w:rsidP="00A720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26DB8">
        <w:rPr>
          <w:rFonts w:ascii="Times New Roman" w:eastAsia="Calibri" w:hAnsi="Times New Roman" w:cs="Times New Roman"/>
          <w:sz w:val="24"/>
          <w:szCs w:val="24"/>
          <w:lang w:eastAsia="ru-RU"/>
        </w:rPr>
        <w:t>Таблица 1</w:t>
      </w:r>
    </w:p>
    <w:p w:rsidR="002E7348" w:rsidRPr="00526DB8" w:rsidRDefault="002E7348" w:rsidP="00A720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26DB8">
        <w:rPr>
          <w:rFonts w:ascii="Times New Roman" w:eastAsia="Calibri" w:hAnsi="Times New Roman" w:cs="Times New Roman"/>
          <w:sz w:val="24"/>
          <w:szCs w:val="24"/>
          <w:lang w:eastAsia="ru-RU"/>
        </w:rPr>
        <w:t>Сравнение</w:t>
      </w:r>
      <w:r w:rsidR="00EE2275" w:rsidRPr="00526DB8">
        <w:rPr>
          <w:rFonts w:ascii="Times New Roman" w:eastAsia="Calibri" w:hAnsi="Times New Roman" w:cs="Times New Roman"/>
          <w:sz w:val="24"/>
          <w:szCs w:val="24"/>
          <w:lang w:eastAsia="ru-RU"/>
        </w:rPr>
        <w:t xml:space="preserve"> продвижения</w:t>
      </w:r>
      <w:r w:rsidRPr="00526DB8">
        <w:rPr>
          <w:rFonts w:ascii="Times New Roman" w:eastAsia="Calibri" w:hAnsi="Times New Roman" w:cs="Times New Roman"/>
          <w:sz w:val="24"/>
          <w:szCs w:val="24"/>
          <w:lang w:eastAsia="ru-RU"/>
        </w:rPr>
        <w:t xml:space="preserve"> платежных систем </w:t>
      </w:r>
      <w:r w:rsidR="00446BC7" w:rsidRPr="00526DB8">
        <w:rPr>
          <w:rFonts w:ascii="Times New Roman" w:eastAsia="Calibri" w:hAnsi="Times New Roman" w:cs="Times New Roman"/>
          <w:sz w:val="24"/>
          <w:szCs w:val="24"/>
          <w:lang w:eastAsia="ru-RU"/>
        </w:rPr>
        <w:t>за пределами российского рынка</w:t>
      </w:r>
    </w:p>
    <w:p w:rsidR="00526DB8" w:rsidRPr="00526DB8" w:rsidRDefault="002E7348" w:rsidP="00A720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26DB8">
        <w:rPr>
          <w:rFonts w:ascii="Times New Roman" w:eastAsia="Calibri" w:hAnsi="Times New Roman" w:cs="Times New Roman"/>
          <w:sz w:val="24"/>
          <w:szCs w:val="24"/>
          <w:lang w:val="en-US" w:eastAsia="ru-RU"/>
        </w:rPr>
        <w:t>Table 1</w:t>
      </w:r>
    </w:p>
    <w:p w:rsidR="002E7348" w:rsidRPr="00526DB8" w:rsidRDefault="002E11A1" w:rsidP="00A72015">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526DB8">
        <w:rPr>
          <w:rFonts w:ascii="Times New Roman" w:eastAsia="Calibri" w:hAnsi="Times New Roman" w:cs="Times New Roman"/>
          <w:sz w:val="24"/>
          <w:szCs w:val="24"/>
          <w:lang w:val="en-US" w:eastAsia="ru-RU"/>
        </w:rPr>
        <w:t>Comparison of payme</w:t>
      </w:r>
      <w:r w:rsidR="006411B0" w:rsidRPr="00526DB8">
        <w:rPr>
          <w:rFonts w:ascii="Times New Roman" w:eastAsia="Calibri" w:hAnsi="Times New Roman" w:cs="Times New Roman"/>
          <w:sz w:val="24"/>
          <w:szCs w:val="24"/>
          <w:lang w:val="en-US" w:eastAsia="ru-RU"/>
        </w:rPr>
        <w:t xml:space="preserve">nt system promotion outside the </w:t>
      </w:r>
      <w:r w:rsidRPr="00526DB8">
        <w:rPr>
          <w:rFonts w:ascii="Times New Roman" w:eastAsia="Calibri" w:hAnsi="Times New Roman" w:cs="Times New Roman"/>
          <w:sz w:val="24"/>
          <w:szCs w:val="24"/>
          <w:lang w:val="en-US" w:eastAsia="ru-RU"/>
        </w:rPr>
        <w:t>Russian market</w:t>
      </w:r>
    </w:p>
    <w:p w:rsidR="00EE2275" w:rsidRPr="00526DB8" w:rsidRDefault="00115E7C" w:rsidP="00A72015">
      <w:pPr>
        <w:spacing w:after="0" w:line="240" w:lineRule="auto"/>
        <w:ind w:firstLine="708"/>
        <w:rPr>
          <w:rFonts w:ascii="Times New Roman" w:hAnsi="Times New Roman" w:cs="Times New Roman"/>
          <w:sz w:val="24"/>
          <w:szCs w:val="24"/>
          <w:lang w:val="en-US"/>
        </w:rPr>
      </w:pPr>
      <w:r w:rsidRPr="00526DB8">
        <w:rPr>
          <w:rFonts w:ascii="Times New Roman" w:hAnsi="Times New Roman" w:cs="Times New Roman"/>
          <w:sz w:val="24"/>
          <w:szCs w:val="24"/>
          <w:lang w:val="en-US"/>
        </w:rPr>
        <w:fldChar w:fldCharType="begin"/>
      </w:r>
      <w:r w:rsidR="00EE2275" w:rsidRPr="00526DB8">
        <w:rPr>
          <w:rFonts w:ascii="Times New Roman" w:hAnsi="Times New Roman" w:cs="Times New Roman"/>
          <w:sz w:val="24"/>
          <w:szCs w:val="24"/>
          <w:lang w:val="en-US"/>
        </w:rPr>
        <w:instrText xml:space="preserve"> LINK Excel.Sheet.12 "E:\\1_УЧЕБНИКИ\\1_РМОУ_Учебник\\Глава_Спонсорство_Таблицы.xlsx" "МИР!R5C3:R9C6" \a \f 4 \h </w:instrText>
      </w:r>
      <w:r w:rsidR="001136C5" w:rsidRPr="00526DB8">
        <w:rPr>
          <w:rFonts w:ascii="Times New Roman" w:hAnsi="Times New Roman" w:cs="Times New Roman"/>
          <w:sz w:val="24"/>
          <w:szCs w:val="24"/>
          <w:lang w:val="en-US"/>
        </w:rPr>
        <w:instrText xml:space="preserve"> \* MERGEFORMAT </w:instrText>
      </w:r>
      <w:r w:rsidRPr="00526DB8">
        <w:rPr>
          <w:rFonts w:ascii="Times New Roman" w:hAnsi="Times New Roman" w:cs="Times New Roman"/>
          <w:sz w:val="24"/>
          <w:szCs w:val="24"/>
          <w:lang w:val="en-US"/>
        </w:rPr>
        <w:fldChar w:fldCharType="separate"/>
      </w:r>
    </w:p>
    <w:tbl>
      <w:tblPr>
        <w:tblW w:w="9640" w:type="dxa"/>
        <w:tblLook w:val="04A0"/>
      </w:tblPr>
      <w:tblGrid>
        <w:gridCol w:w="2140"/>
        <w:gridCol w:w="2500"/>
        <w:gridCol w:w="2500"/>
        <w:gridCol w:w="2500"/>
      </w:tblGrid>
      <w:tr w:rsidR="00EE2275" w:rsidRPr="00526DB8" w:rsidTr="00526DB8">
        <w:trPr>
          <w:trHeight w:val="20"/>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275" w:rsidRPr="00526DB8" w:rsidRDefault="00EE2275" w:rsidP="00526DB8">
            <w:pPr>
              <w:spacing w:after="0" w:line="240" w:lineRule="auto"/>
              <w:jc w:val="center"/>
              <w:rPr>
                <w:rFonts w:ascii="Times New Roman" w:eastAsia="Times New Roman" w:hAnsi="Times New Roman" w:cs="Times New Roman"/>
                <w:bCs/>
                <w:i/>
                <w:sz w:val="20"/>
                <w:szCs w:val="20"/>
                <w:lang w:eastAsia="ru-RU"/>
              </w:rPr>
            </w:pPr>
            <w:r w:rsidRPr="00526DB8">
              <w:rPr>
                <w:rFonts w:ascii="Times New Roman" w:eastAsia="Times New Roman" w:hAnsi="Times New Roman" w:cs="Times New Roman"/>
                <w:bCs/>
                <w:i/>
                <w:sz w:val="20"/>
                <w:szCs w:val="20"/>
                <w:lang w:eastAsia="ru-RU"/>
              </w:rPr>
              <w:t>Спортивные события</w:t>
            </w:r>
          </w:p>
        </w:tc>
        <w:tc>
          <w:tcPr>
            <w:tcW w:w="75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E2275" w:rsidRPr="00526DB8" w:rsidRDefault="00EE2275" w:rsidP="00526DB8">
            <w:pPr>
              <w:spacing w:after="0" w:line="240" w:lineRule="auto"/>
              <w:jc w:val="center"/>
              <w:rPr>
                <w:rFonts w:ascii="Times New Roman" w:eastAsia="Times New Roman" w:hAnsi="Times New Roman" w:cs="Times New Roman"/>
                <w:bCs/>
                <w:i/>
                <w:sz w:val="20"/>
                <w:szCs w:val="20"/>
                <w:lang w:eastAsia="ru-RU"/>
              </w:rPr>
            </w:pPr>
            <w:r w:rsidRPr="00526DB8">
              <w:rPr>
                <w:rFonts w:ascii="Times New Roman" w:eastAsia="Times New Roman" w:hAnsi="Times New Roman" w:cs="Times New Roman"/>
                <w:bCs/>
                <w:i/>
                <w:sz w:val="20"/>
                <w:szCs w:val="20"/>
                <w:lang w:eastAsia="ru-RU"/>
              </w:rPr>
              <w:t>Платежные системы</w:t>
            </w:r>
          </w:p>
        </w:tc>
      </w:tr>
      <w:tr w:rsidR="00EE2275" w:rsidRPr="00526DB8" w:rsidTr="00526DB8">
        <w:trPr>
          <w:trHeight w:val="20"/>
        </w:trPr>
        <w:tc>
          <w:tcPr>
            <w:tcW w:w="2140" w:type="dxa"/>
            <w:vMerge/>
            <w:tcBorders>
              <w:top w:val="single" w:sz="4" w:space="0" w:color="auto"/>
              <w:left w:val="single" w:sz="4" w:space="0" w:color="auto"/>
              <w:bottom w:val="single" w:sz="4" w:space="0" w:color="000000"/>
              <w:right w:val="single" w:sz="4" w:space="0" w:color="auto"/>
            </w:tcBorders>
            <w:vAlign w:val="center"/>
            <w:hideMark/>
          </w:tcPr>
          <w:p w:rsidR="00EE2275" w:rsidRPr="00526DB8" w:rsidRDefault="00EE2275" w:rsidP="00526DB8">
            <w:pPr>
              <w:spacing w:after="0" w:line="240" w:lineRule="auto"/>
              <w:jc w:val="center"/>
              <w:rPr>
                <w:rFonts w:ascii="Times New Roman" w:eastAsia="Times New Roman" w:hAnsi="Times New Roman" w:cs="Times New Roman"/>
                <w:bCs/>
                <w:i/>
                <w:sz w:val="20"/>
                <w:szCs w:val="20"/>
                <w:lang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rsidR="00EE2275" w:rsidRPr="00526DB8" w:rsidRDefault="00EE2275" w:rsidP="00526DB8">
            <w:pPr>
              <w:spacing w:after="0" w:line="240" w:lineRule="auto"/>
              <w:jc w:val="center"/>
              <w:rPr>
                <w:rFonts w:ascii="Times New Roman" w:eastAsia="Times New Roman" w:hAnsi="Times New Roman" w:cs="Times New Roman"/>
                <w:bCs/>
                <w:i/>
                <w:sz w:val="20"/>
                <w:szCs w:val="20"/>
                <w:lang w:eastAsia="ru-RU"/>
              </w:rPr>
            </w:pPr>
            <w:r w:rsidRPr="00526DB8">
              <w:rPr>
                <w:rFonts w:ascii="Times New Roman" w:eastAsia="Times New Roman" w:hAnsi="Times New Roman" w:cs="Times New Roman"/>
                <w:bCs/>
                <w:i/>
                <w:sz w:val="20"/>
                <w:szCs w:val="20"/>
                <w:lang w:eastAsia="ru-RU"/>
              </w:rPr>
              <w:t>Visa</w:t>
            </w:r>
          </w:p>
        </w:tc>
        <w:tc>
          <w:tcPr>
            <w:tcW w:w="2500" w:type="dxa"/>
            <w:tcBorders>
              <w:top w:val="nil"/>
              <w:left w:val="nil"/>
              <w:bottom w:val="single" w:sz="4" w:space="0" w:color="auto"/>
              <w:right w:val="single" w:sz="4" w:space="0" w:color="auto"/>
            </w:tcBorders>
            <w:shd w:val="clear" w:color="auto" w:fill="auto"/>
            <w:noWrap/>
            <w:vAlign w:val="center"/>
            <w:hideMark/>
          </w:tcPr>
          <w:p w:rsidR="00EE2275" w:rsidRPr="00526DB8" w:rsidRDefault="00EE2275" w:rsidP="00526DB8">
            <w:pPr>
              <w:spacing w:after="0" w:line="240" w:lineRule="auto"/>
              <w:jc w:val="center"/>
              <w:rPr>
                <w:rFonts w:ascii="Times New Roman" w:eastAsia="Times New Roman" w:hAnsi="Times New Roman" w:cs="Times New Roman"/>
                <w:bCs/>
                <w:i/>
                <w:sz w:val="20"/>
                <w:szCs w:val="20"/>
                <w:lang w:eastAsia="ru-RU"/>
              </w:rPr>
            </w:pPr>
            <w:r w:rsidRPr="00526DB8">
              <w:rPr>
                <w:rFonts w:ascii="Times New Roman" w:eastAsia="Times New Roman" w:hAnsi="Times New Roman" w:cs="Times New Roman"/>
                <w:bCs/>
                <w:i/>
                <w:sz w:val="20"/>
                <w:szCs w:val="20"/>
                <w:lang w:eastAsia="ru-RU"/>
              </w:rPr>
              <w:t>Mastercard</w:t>
            </w:r>
          </w:p>
        </w:tc>
        <w:tc>
          <w:tcPr>
            <w:tcW w:w="2500" w:type="dxa"/>
            <w:tcBorders>
              <w:top w:val="nil"/>
              <w:left w:val="nil"/>
              <w:bottom w:val="single" w:sz="4" w:space="0" w:color="auto"/>
              <w:right w:val="single" w:sz="4" w:space="0" w:color="auto"/>
            </w:tcBorders>
            <w:shd w:val="clear" w:color="auto" w:fill="auto"/>
            <w:noWrap/>
            <w:vAlign w:val="center"/>
            <w:hideMark/>
          </w:tcPr>
          <w:p w:rsidR="00EE2275" w:rsidRPr="00526DB8" w:rsidRDefault="00EE2275" w:rsidP="00526DB8">
            <w:pPr>
              <w:spacing w:after="0" w:line="240" w:lineRule="auto"/>
              <w:jc w:val="center"/>
              <w:rPr>
                <w:rFonts w:ascii="Times New Roman" w:eastAsia="Times New Roman" w:hAnsi="Times New Roman" w:cs="Times New Roman"/>
                <w:bCs/>
                <w:i/>
                <w:sz w:val="20"/>
                <w:szCs w:val="20"/>
                <w:lang w:eastAsia="ru-RU"/>
              </w:rPr>
            </w:pPr>
            <w:r w:rsidRPr="00526DB8">
              <w:rPr>
                <w:rFonts w:ascii="Times New Roman" w:eastAsia="Times New Roman" w:hAnsi="Times New Roman" w:cs="Times New Roman"/>
                <w:bCs/>
                <w:i/>
                <w:sz w:val="20"/>
                <w:szCs w:val="20"/>
                <w:lang w:eastAsia="ru-RU"/>
              </w:rPr>
              <w:t>МИР</w:t>
            </w:r>
          </w:p>
        </w:tc>
      </w:tr>
      <w:tr w:rsidR="00EE2275" w:rsidRPr="00526DB8" w:rsidTr="00526DB8">
        <w:trPr>
          <w:trHeight w:val="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Олимпийские игры</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Спонсор ОИ</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 xml:space="preserve"> -</w:t>
            </w:r>
          </w:p>
        </w:tc>
      </w:tr>
      <w:tr w:rsidR="00EE2275" w:rsidRPr="00526DB8" w:rsidTr="00526DB8">
        <w:trPr>
          <w:trHeight w:val="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Чемпионаты мира</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Спонсор ЧМ по футболу</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 xml:space="preserve">Спонсор ЧМ по регби, спонсор в Формуле-1 </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 xml:space="preserve"> -</w:t>
            </w:r>
          </w:p>
        </w:tc>
      </w:tr>
      <w:tr w:rsidR="00EE2275" w:rsidRPr="00526DB8" w:rsidTr="00526DB8">
        <w:trPr>
          <w:trHeight w:val="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Другие турниры</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NFL</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1136C5" w:rsidP="00A72015">
            <w:pPr>
              <w:spacing w:after="0" w:line="240" w:lineRule="auto"/>
              <w:rPr>
                <w:rFonts w:ascii="Times New Roman" w:eastAsia="Times New Roman" w:hAnsi="Times New Roman" w:cs="Times New Roman"/>
                <w:sz w:val="20"/>
                <w:szCs w:val="20"/>
                <w:lang w:eastAsia="ru-RU"/>
              </w:rPr>
            </w:pPr>
            <w:r w:rsidRPr="00526DB8">
              <w:rPr>
                <w:rFonts w:ascii="Times New Roman" w:eastAsia="Times New Roman" w:hAnsi="Times New Roman" w:cs="Times New Roman"/>
                <w:sz w:val="20"/>
                <w:szCs w:val="20"/>
                <w:lang w:eastAsia="ru-RU"/>
              </w:rPr>
              <w:t>Лига Чемпионов UEFA</w:t>
            </w:r>
          </w:p>
        </w:tc>
        <w:tc>
          <w:tcPr>
            <w:tcW w:w="2500" w:type="dxa"/>
            <w:tcBorders>
              <w:top w:val="nil"/>
              <w:left w:val="nil"/>
              <w:bottom w:val="single" w:sz="4" w:space="0" w:color="auto"/>
              <w:right w:val="single" w:sz="4" w:space="0" w:color="auto"/>
            </w:tcBorders>
            <w:shd w:val="clear" w:color="auto" w:fill="auto"/>
            <w:vAlign w:val="center"/>
            <w:hideMark/>
          </w:tcPr>
          <w:p w:rsidR="00EE2275" w:rsidRPr="00526DB8" w:rsidRDefault="00EE2275" w:rsidP="00A72015">
            <w:pPr>
              <w:spacing w:after="0" w:line="240" w:lineRule="auto"/>
              <w:rPr>
                <w:rFonts w:ascii="Times New Roman" w:eastAsia="Times New Roman" w:hAnsi="Times New Roman" w:cs="Times New Roman"/>
                <w:sz w:val="20"/>
                <w:szCs w:val="20"/>
                <w:lang w:eastAsia="ru-RU"/>
              </w:rPr>
            </w:pPr>
            <w:bookmarkStart w:id="4" w:name="_GoBack"/>
            <w:bookmarkEnd w:id="4"/>
            <w:r w:rsidRPr="00526DB8">
              <w:rPr>
                <w:rFonts w:ascii="Times New Roman" w:eastAsia="Times New Roman" w:hAnsi="Times New Roman" w:cs="Times New Roman"/>
                <w:sz w:val="20"/>
                <w:szCs w:val="20"/>
                <w:lang w:eastAsia="ru-RU"/>
              </w:rPr>
              <w:t xml:space="preserve"> -</w:t>
            </w:r>
          </w:p>
        </w:tc>
      </w:tr>
    </w:tbl>
    <w:p w:rsidR="002E7348" w:rsidRPr="00526DB8" w:rsidRDefault="00115E7C" w:rsidP="00A72015">
      <w:pPr>
        <w:spacing w:after="0" w:line="240" w:lineRule="auto"/>
        <w:ind w:firstLine="708"/>
        <w:rPr>
          <w:rFonts w:ascii="Times New Roman" w:hAnsi="Times New Roman" w:cs="Times New Roman"/>
          <w:bCs/>
          <w:sz w:val="24"/>
          <w:szCs w:val="24"/>
          <w:u w:val="single"/>
          <w:lang w:val="en-US"/>
        </w:rPr>
      </w:pPr>
      <w:r w:rsidRPr="00526DB8">
        <w:rPr>
          <w:rFonts w:ascii="Times New Roman" w:hAnsi="Times New Roman" w:cs="Times New Roman"/>
          <w:bCs/>
          <w:sz w:val="24"/>
          <w:szCs w:val="24"/>
          <w:u w:val="single"/>
          <w:lang w:val="en-US"/>
        </w:rPr>
        <w:fldChar w:fldCharType="end"/>
      </w:r>
    </w:p>
    <w:p w:rsidR="00DD6234" w:rsidRPr="00CE0942" w:rsidRDefault="00572421" w:rsidP="00A72015">
      <w:pPr>
        <w:spacing w:after="0" w:line="240" w:lineRule="auto"/>
        <w:ind w:firstLine="708"/>
        <w:rPr>
          <w:rFonts w:ascii="Times New Roman" w:hAnsi="Times New Roman" w:cs="Times New Roman"/>
          <w:i/>
          <w:sz w:val="24"/>
          <w:szCs w:val="24"/>
        </w:rPr>
      </w:pPr>
      <w:r w:rsidRPr="00CE0942">
        <w:rPr>
          <w:rFonts w:ascii="Times New Roman" w:hAnsi="Times New Roman" w:cs="Times New Roman"/>
          <w:bCs/>
          <w:i/>
          <w:sz w:val="24"/>
          <w:szCs w:val="24"/>
        </w:rPr>
        <w:t>Анализ работы платежных систем на российском рынк</w:t>
      </w:r>
      <w:r w:rsidR="00DD6234" w:rsidRPr="00CE0942">
        <w:rPr>
          <w:rFonts w:ascii="Times New Roman" w:hAnsi="Times New Roman" w:cs="Times New Roman"/>
          <w:bCs/>
          <w:i/>
          <w:sz w:val="24"/>
          <w:szCs w:val="24"/>
        </w:rPr>
        <w:t>е</w:t>
      </w:r>
    </w:p>
    <w:p w:rsidR="004C2185" w:rsidRPr="00A72015" w:rsidRDefault="004C2185" w:rsidP="00A72015">
      <w:pPr>
        <w:pStyle w:val="my-2"/>
        <w:spacing w:before="0" w:beforeAutospacing="0" w:after="0" w:afterAutospacing="0"/>
        <w:ind w:firstLine="708"/>
      </w:pPr>
      <w:r w:rsidRPr="00526DB8">
        <w:t>На российском рынке</w:t>
      </w:r>
      <w:r w:rsidRPr="00A72015">
        <w:t xml:space="preserve"> немного примеров эффективного использования спонсорских возможностей приобретателями прав. В основном максимально утилизируют свои пакеты букмекерские компании и еще немногое количество компаний из других категорий. Они эффективно продвигают свои товары и услуги среди целевой аудитории правообладателей, используя такие маркетинговые возможности как: проведение рекламных акций с розыгрышами призов на аренах и в цифровых ресурсах спортивной организации, привлечение игроков к своим рекламным кампаниям, предоставление уникального опыта целевой аудитории и другие. Эти инструменты могут эффективно использовать бренды из разных ценовых категорий от товаров повседневного спроса до автопроизводителей и девелоперов. При этом активация спонсорских прав одинаково выгодна и приобретателю прав, и правообладателю</w:t>
      </w:r>
      <w:r w:rsidR="00F366C6">
        <w:t>.</w:t>
      </w:r>
    </w:p>
    <w:p w:rsidR="004C2185" w:rsidRPr="00A72015" w:rsidRDefault="004C2185" w:rsidP="00A72015">
      <w:pPr>
        <w:pStyle w:val="my-2"/>
        <w:spacing w:before="0" w:beforeAutospacing="0" w:after="0" w:afterAutospacing="0"/>
        <w:ind w:firstLine="708"/>
      </w:pPr>
      <w:r w:rsidRPr="00A72015">
        <w:t xml:space="preserve">Заметным исключением были активации спонсорских возможностей приобретателями прав в категории «Платежные системы», среди которых выделялись мировые лидеры Visa и </w:t>
      </w:r>
      <w:r w:rsidRPr="00A72015">
        <w:lastRenderedPageBreak/>
        <w:t xml:space="preserve">Mastercard. </w:t>
      </w:r>
      <w:r w:rsidR="00DD6234" w:rsidRPr="00A72015">
        <w:t xml:space="preserve">Международные платежные системы </w:t>
      </w:r>
      <w:r w:rsidR="00DD6234" w:rsidRPr="00A72015">
        <w:rPr>
          <w:bCs/>
        </w:rPr>
        <w:t>Visa</w:t>
      </w:r>
      <w:r w:rsidR="00DD6234" w:rsidRPr="00A72015">
        <w:t xml:space="preserve"> и </w:t>
      </w:r>
      <w:r w:rsidR="00DD6234" w:rsidRPr="00A72015">
        <w:rPr>
          <w:bCs/>
        </w:rPr>
        <w:t>Mastercard</w:t>
      </w:r>
      <w:r w:rsidR="00DD6234" w:rsidRPr="00A72015">
        <w:t xml:space="preserve"> до 2022 г. последовательно интегрировались в структуру </w:t>
      </w:r>
      <w:r w:rsidR="00DD6234" w:rsidRPr="00A72015">
        <w:rPr>
          <w:bCs/>
        </w:rPr>
        <w:t>российского спорта</w:t>
      </w:r>
      <w:r w:rsidR="00DD6234" w:rsidRPr="00A72015">
        <w:t xml:space="preserve"> посредством эксклюзивных партнерств на крупнейших спортивных событиях и профессиональных лигах, преследуя стратегические цели повышения доли безналичных платежей, укрепления брендового капитала и стимулирования лояльности клиентской базы, в то время </w:t>
      </w:r>
      <w:r w:rsidR="00DD6234" w:rsidRPr="00A72015">
        <w:rPr>
          <w:bCs/>
        </w:rPr>
        <w:t>как American Express и UnionPay</w:t>
      </w:r>
      <w:r w:rsidR="00DD6234" w:rsidRPr="00A72015">
        <w:t xml:space="preserve"> демонстрировали минимальное вовлечение и практически не были интегрированы за данный период </w:t>
      </w:r>
      <w:r w:rsidR="00C45C67">
        <w:t>в</w:t>
      </w:r>
      <w:r w:rsidR="00DD6234" w:rsidRPr="00A72015">
        <w:t xml:space="preserve"> российск</w:t>
      </w:r>
      <w:r w:rsidR="00C45C67">
        <w:t>ий</w:t>
      </w:r>
      <w:r w:rsidR="00DD6234" w:rsidRPr="00A72015">
        <w:t xml:space="preserve"> спортивн</w:t>
      </w:r>
      <w:r w:rsidR="00C45C67">
        <w:t>ый рынок</w:t>
      </w:r>
      <w:r w:rsidR="00DD6234" w:rsidRPr="00A72015">
        <w:t xml:space="preserve">. </w:t>
      </w:r>
    </w:p>
    <w:p w:rsidR="00DD6234" w:rsidRPr="00A72015" w:rsidRDefault="004C2185" w:rsidP="00A72015">
      <w:pPr>
        <w:pStyle w:val="my-2"/>
        <w:spacing w:before="0" w:beforeAutospacing="0" w:after="0" w:afterAutospacing="0"/>
        <w:ind w:firstLine="708"/>
        <w:rPr>
          <w:rStyle w:val="inline-flex"/>
        </w:rPr>
      </w:pPr>
      <w:r w:rsidRPr="00A72015">
        <w:rPr>
          <w:rStyle w:val="inline-flex"/>
        </w:rPr>
        <w:t>Основные маркетинговые продукты, которые сегодня предлагают своим аудиториям российские лиги и клубы, это продукты для двух категорий потребителей: 1) для бизнес-потребителей (b-2-b) это медиа права, спонсорские и партнерские предложения, билетные программы; 2) для болельщиков (b-2-c) такими продуктами являются телетрансляции, билетные программы и продукция мерчандайзинга. Через эти аудитории идет активная коммуникация спонсоров и партнеров лиг и клубов</w:t>
      </w:r>
      <w:r w:rsidR="00E82DF2">
        <w:rPr>
          <w:rStyle w:val="inline-flex"/>
        </w:rPr>
        <w:t>.</w:t>
      </w:r>
      <w:r w:rsidR="00E82DF2">
        <w:rPr>
          <w:rStyle w:val="aa"/>
        </w:rPr>
        <w:footnoteReference w:id="14"/>
      </w:r>
      <w:r w:rsidRPr="00A72015">
        <w:rPr>
          <w:rStyle w:val="inline-flex"/>
        </w:rPr>
        <w:t xml:space="preserve"> Партнерские активации </w:t>
      </w:r>
      <w:r w:rsidR="00C652B2" w:rsidRPr="00A72015">
        <w:rPr>
          <w:rStyle w:val="inline-flex"/>
        </w:rPr>
        <w:t xml:space="preserve">Visa, Mastercard и «МИР» </w:t>
      </w:r>
      <w:r w:rsidRPr="00A72015">
        <w:rPr>
          <w:rStyle w:val="inline-flex"/>
        </w:rPr>
        <w:t>способствовали модернизации платежной инфраст</w:t>
      </w:r>
      <w:r w:rsidR="00C652B2" w:rsidRPr="00A72015">
        <w:rPr>
          <w:rStyle w:val="inline-flex"/>
        </w:rPr>
        <w:t>руктуры на спортивных объектах, интеграции в маркетинговые продукты спортивных организаций (спонсорство, билетные программы и мерчандайзинг), что привело к</w:t>
      </w:r>
      <w:r w:rsidRPr="00A72015">
        <w:rPr>
          <w:rStyle w:val="inline-flex"/>
        </w:rPr>
        <w:t xml:space="preserve"> росту транзакционной активности</w:t>
      </w:r>
      <w:r w:rsidR="00C652B2" w:rsidRPr="00A72015">
        <w:rPr>
          <w:rStyle w:val="inline-flex"/>
        </w:rPr>
        <w:t>, сокращению времени обслуживания болельщика и увеличению выручки спортивных организаций</w:t>
      </w:r>
      <w:r w:rsidRPr="00A72015">
        <w:rPr>
          <w:rStyle w:val="inline-flex"/>
        </w:rPr>
        <w:t>.</w:t>
      </w:r>
    </w:p>
    <w:p w:rsidR="00DD6234" w:rsidRPr="00A72015" w:rsidRDefault="00DD6234" w:rsidP="00A72015">
      <w:pPr>
        <w:pStyle w:val="my-2"/>
        <w:spacing w:before="0" w:beforeAutospacing="0" w:after="0" w:afterAutospacing="0"/>
        <w:ind w:firstLine="708"/>
      </w:pPr>
      <w:r w:rsidRPr="00A72015">
        <w:t xml:space="preserve">В структуре спонсорского портфеля </w:t>
      </w:r>
      <w:r w:rsidR="00E62784">
        <w:rPr>
          <w:bCs/>
        </w:rPr>
        <w:t>Visa</w:t>
      </w:r>
      <w:r w:rsidRPr="00A72015">
        <w:t xml:space="preserve"> в приоритете крупнейшие международные спортивные события. К числу ключевых спонсорских активов относятся Олимпийские и Паралимпийские зимние игры в Сочи-2014 в статусе «Worldwide Partner МОК». </w:t>
      </w:r>
      <w:r w:rsidRPr="00A72015">
        <w:rPr>
          <w:rStyle w:val="ypks7kbdpwfgdykd3qb9"/>
        </w:rPr>
        <w:t>В</w:t>
      </w:r>
      <w:r w:rsidRPr="00A72015">
        <w:t xml:space="preserve"> </w:t>
      </w:r>
      <w:r w:rsidRPr="00A72015">
        <w:rPr>
          <w:rStyle w:val="ypks7kbdpwfgdykd3qb9"/>
        </w:rPr>
        <w:t>торговых</w:t>
      </w:r>
      <w:r w:rsidRPr="00A72015">
        <w:t xml:space="preserve"> </w:t>
      </w:r>
      <w:r w:rsidRPr="00A72015">
        <w:rPr>
          <w:rStyle w:val="ypks7kbdpwfgdykd3qb9"/>
        </w:rPr>
        <w:t>точках</w:t>
      </w:r>
      <w:r w:rsidRPr="00A72015">
        <w:t xml:space="preserve"> </w:t>
      </w:r>
      <w:r w:rsidRPr="00A72015">
        <w:rPr>
          <w:rStyle w:val="ypks7kbdpwfgdykd3qb9"/>
        </w:rPr>
        <w:t>на</w:t>
      </w:r>
      <w:r w:rsidRPr="00A72015">
        <w:t xml:space="preserve"> всех </w:t>
      </w:r>
      <w:r w:rsidRPr="00A72015">
        <w:rPr>
          <w:rStyle w:val="ypks7kbdpwfgdykd3qb9"/>
        </w:rPr>
        <w:t>объектах</w:t>
      </w:r>
      <w:r w:rsidRPr="00A72015">
        <w:t xml:space="preserve"> </w:t>
      </w:r>
      <w:r w:rsidRPr="00A72015">
        <w:rPr>
          <w:rStyle w:val="ypks7kbdpwfgdykd3qb9"/>
        </w:rPr>
        <w:t>Олимпийских</w:t>
      </w:r>
      <w:r w:rsidRPr="00A72015">
        <w:t xml:space="preserve"> </w:t>
      </w:r>
      <w:r w:rsidRPr="00A72015">
        <w:rPr>
          <w:rStyle w:val="ypks7kbdpwfgdykd3qb9"/>
        </w:rPr>
        <w:t>игр</w:t>
      </w:r>
      <w:r w:rsidRPr="00A72015">
        <w:t xml:space="preserve"> </w:t>
      </w:r>
      <w:r w:rsidRPr="00A72015">
        <w:rPr>
          <w:rStyle w:val="ypks7kbdpwfgdykd3qb9"/>
        </w:rPr>
        <w:t xml:space="preserve">было </w:t>
      </w:r>
      <w:r w:rsidRPr="00A72015">
        <w:t xml:space="preserve">установлено </w:t>
      </w:r>
      <w:r w:rsidRPr="00A72015">
        <w:rPr>
          <w:rStyle w:val="ypks7kbdpwfgdykd3qb9"/>
        </w:rPr>
        <w:t>около</w:t>
      </w:r>
      <w:r w:rsidRPr="00A72015">
        <w:t xml:space="preserve"> </w:t>
      </w:r>
      <w:r w:rsidRPr="00A72015">
        <w:rPr>
          <w:rStyle w:val="ypks7kbdpwfgdykd3qb9"/>
        </w:rPr>
        <w:t>1500</w:t>
      </w:r>
      <w:r w:rsidRPr="00A72015">
        <w:t xml:space="preserve"> </w:t>
      </w:r>
      <w:r w:rsidRPr="00A72015">
        <w:rPr>
          <w:rStyle w:val="ypks7kbdpwfgdykd3qb9"/>
        </w:rPr>
        <w:t>устройств</w:t>
      </w:r>
      <w:r w:rsidRPr="00A72015">
        <w:t xml:space="preserve"> с </w:t>
      </w:r>
      <w:r w:rsidRPr="00A72015">
        <w:rPr>
          <w:rStyle w:val="ypks7kbdpwfgdykd3qb9"/>
        </w:rPr>
        <w:t>поддержкой</w:t>
      </w:r>
      <w:r w:rsidRPr="00A72015">
        <w:t xml:space="preserve"> </w:t>
      </w:r>
      <w:r w:rsidRPr="00A72015">
        <w:rPr>
          <w:rStyle w:val="ypks7kbdpwfgdykd3qb9"/>
        </w:rPr>
        <w:t>бесконтактной</w:t>
      </w:r>
      <w:r w:rsidR="00E62784">
        <w:t xml:space="preserve"> связи</w:t>
      </w:r>
      <w:r w:rsidRPr="00A72015">
        <w:rPr>
          <w:rStyle w:val="ypks7kbdpwfgdykd3qb9"/>
        </w:rPr>
        <w:t>.</w:t>
      </w:r>
      <w:r w:rsidRPr="00A72015">
        <w:t xml:space="preserve"> Инвестиции Visa в Сочи-2014 достигли $40 млн, включая развитие инфраструктуры в Краснодарском крае, обучение мерчантов и запуск affinity-карт совместно со Сбербанком и поддержкой олимпийской сборной России. На ЧМ-2018 доля бесконтактных платежей (включая смартфоны, браслеты и кольца) на всех стадионах составила 54%, причем держатели российских карт Visa чаще иностранцев предпочитали такой способ оплаты – 66 и 34% соответственно</w:t>
      </w:r>
      <w:r w:rsidRPr="00A72015">
        <w:rPr>
          <w:rStyle w:val="aa"/>
        </w:rPr>
        <w:footnoteReference w:id="15"/>
      </w:r>
      <w:r w:rsidRPr="00A72015">
        <w:t xml:space="preserve">. Также </w:t>
      </w:r>
      <w:r w:rsidRPr="00A72015">
        <w:rPr>
          <w:lang w:val="en-US"/>
        </w:rPr>
        <w:t>Visa</w:t>
      </w:r>
      <w:r w:rsidRPr="00A72015">
        <w:t xml:space="preserve"> выступила в качестве официального платежного партнера FIFA Чемпионат мира по футболу 2018 г. </w:t>
      </w:r>
      <w:r w:rsidRPr="00A72015">
        <w:rPr>
          <w:bCs/>
        </w:rPr>
        <w:t>Стратегические цели</w:t>
      </w:r>
      <w:r w:rsidRPr="00A72015">
        <w:rPr>
          <w:b/>
          <w:bCs/>
        </w:rPr>
        <w:t xml:space="preserve"> </w:t>
      </w:r>
      <w:r w:rsidRPr="00A72015">
        <w:t>Visa включали демонстрацию технологических решений (contactless, VisaNet), расширение сети acceptance на развивающихся рынках (рост эмиссии карт в РФ на 47% к 2018 г.) и формирование эмоциональной связи с аудиторией через программу Team Visa с российскими атлетами.</w:t>
      </w:r>
    </w:p>
    <w:p w:rsidR="00DD6234" w:rsidRPr="00A72015" w:rsidRDefault="00DD6234" w:rsidP="00A72015">
      <w:pPr>
        <w:pStyle w:val="my-2"/>
        <w:spacing w:before="0" w:beforeAutospacing="0" w:after="0" w:afterAutospacing="0"/>
        <w:ind w:firstLine="708"/>
      </w:pPr>
      <w:r w:rsidRPr="00A72015">
        <w:t xml:space="preserve">К числу наиболее распространенных форм реализации целей </w:t>
      </w:r>
      <w:r w:rsidRPr="00A72015">
        <w:rPr>
          <w:bCs/>
          <w:lang w:val="en-US"/>
        </w:rPr>
        <w:t>Mastercard</w:t>
      </w:r>
      <w:r w:rsidRPr="00A72015">
        <w:rPr>
          <w:bCs/>
        </w:rPr>
        <w:t xml:space="preserve"> в России</w:t>
      </w:r>
      <w:r w:rsidRPr="00A72015">
        <w:t xml:space="preserve"> относятся партнерства в Континентальной хоккейной лиге (КХЛ) </w:t>
      </w:r>
      <w:r w:rsidR="00A32641">
        <w:t>–</w:t>
      </w:r>
      <w:r w:rsidRPr="00A72015">
        <w:t xml:space="preserve"> первый официальный платежный партнер лиги с 2014 г. с подписанием двухлетнего договора, а также косвенные активности в Российской Премьер-Лиге (РПЛ) и Федерации фигурного катания на коньках России (ФФКР) через банки-эмитенты (Сбербанк, ВТБ)</w:t>
      </w:r>
      <w:r w:rsidRPr="00A72015">
        <w:rPr>
          <w:rStyle w:val="inline-flex"/>
        </w:rPr>
        <w:t>.</w:t>
      </w:r>
      <w:r w:rsidRPr="00A72015">
        <w:t xml:space="preserve"> </w:t>
      </w:r>
      <w:r w:rsidRPr="00A72015">
        <w:rPr>
          <w:bCs/>
        </w:rPr>
        <w:t>Ключевыми формами спонсорских активаций</w:t>
      </w:r>
      <w:r w:rsidRPr="00A72015">
        <w:t xml:space="preserve"> Mastercard выступали программы кэшбэка на матчи КХЛ и РПЛ, выпуск ко-брендовых карт, а также предоставление эксклюзивных преимуществ держателям (приоритетная пред</w:t>
      </w:r>
      <w:r w:rsidR="00E44357" w:rsidRPr="00A72015">
        <w:t xml:space="preserve">варительная </w:t>
      </w:r>
      <w:r w:rsidRPr="00A72015">
        <w:t>продажа билетов, VIP-доступ). На Олимпийских играх 2014 г. и Чемпионате мира по футболу 2018 г. Mast</w:t>
      </w:r>
      <w:r w:rsidR="00E44357" w:rsidRPr="00A72015">
        <w:t>ercard реализовывала стратегию «ambush marketing»</w:t>
      </w:r>
      <w:r w:rsidRPr="00A72015">
        <w:t xml:space="preserve"> за пределами стадионов (в отелях, ресторанах), обходя, опять же, эксклюзивные права Visa.</w:t>
      </w:r>
    </w:p>
    <w:p w:rsidR="00D11457" w:rsidRDefault="00D11457" w:rsidP="00A72015">
      <w:pPr>
        <w:spacing w:after="0" w:line="240" w:lineRule="auto"/>
        <w:ind w:firstLine="709"/>
        <w:rPr>
          <w:rFonts w:ascii="Times New Roman" w:hAnsi="Times New Roman" w:cs="Times New Roman"/>
          <w:sz w:val="24"/>
          <w:szCs w:val="24"/>
        </w:rPr>
      </w:pPr>
    </w:p>
    <w:p w:rsidR="00C652B2" w:rsidRPr="00A72015" w:rsidRDefault="004C2185" w:rsidP="00A72015">
      <w:pPr>
        <w:spacing w:after="0" w:line="240" w:lineRule="auto"/>
        <w:ind w:firstLine="709"/>
        <w:rPr>
          <w:rFonts w:ascii="Times New Roman" w:hAnsi="Times New Roman" w:cs="Times New Roman"/>
          <w:sz w:val="24"/>
          <w:szCs w:val="24"/>
        </w:rPr>
      </w:pPr>
      <w:r w:rsidRPr="00A72015">
        <w:rPr>
          <w:rFonts w:ascii="Times New Roman" w:hAnsi="Times New Roman" w:cs="Times New Roman"/>
          <w:sz w:val="24"/>
          <w:szCs w:val="24"/>
        </w:rPr>
        <w:t xml:space="preserve">Национальная система платежных карт (НСПК) начала интегрироваться в российские спортивные проекты в качестве партнера с 2022 г. сразу после ухода международных </w:t>
      </w:r>
      <w:r w:rsidRPr="00A72015">
        <w:rPr>
          <w:rFonts w:ascii="Times New Roman" w:hAnsi="Times New Roman" w:cs="Times New Roman"/>
          <w:sz w:val="24"/>
          <w:szCs w:val="24"/>
        </w:rPr>
        <w:lastRenderedPageBreak/>
        <w:t>брендов (Visa, Mastercard), заполнив образовавшийся вакуум на рынке спортивного спонсорства в России</w:t>
      </w:r>
      <w:r w:rsidR="006962EC" w:rsidRPr="00A72015">
        <w:rPr>
          <w:rFonts w:ascii="Times New Roman" w:hAnsi="Times New Roman" w:cs="Times New Roman"/>
          <w:sz w:val="24"/>
          <w:szCs w:val="24"/>
        </w:rPr>
        <w:t>,</w:t>
      </w:r>
      <w:r w:rsidR="00094AAD" w:rsidRPr="00A72015">
        <w:rPr>
          <w:rFonts w:ascii="Times New Roman" w:hAnsi="Times New Roman" w:cs="Times New Roman"/>
          <w:sz w:val="24"/>
          <w:szCs w:val="24"/>
        </w:rPr>
        <w:t xml:space="preserve"> в категории платежных систем</w:t>
      </w:r>
      <w:r w:rsidRPr="00A72015">
        <w:rPr>
          <w:rFonts w:ascii="Times New Roman" w:hAnsi="Times New Roman" w:cs="Times New Roman"/>
          <w:sz w:val="24"/>
          <w:szCs w:val="24"/>
        </w:rPr>
        <w:t xml:space="preserve">. Эта стратегия обеспечила последовательные инвестиции в </w:t>
      </w:r>
      <w:r w:rsidR="00094AAD" w:rsidRPr="00A72015">
        <w:rPr>
          <w:rFonts w:ascii="Times New Roman" w:hAnsi="Times New Roman" w:cs="Times New Roman"/>
          <w:sz w:val="24"/>
          <w:szCs w:val="24"/>
        </w:rPr>
        <w:t>ведущие спортивные</w:t>
      </w:r>
      <w:r w:rsidRPr="00A72015">
        <w:rPr>
          <w:rFonts w:ascii="Times New Roman" w:hAnsi="Times New Roman" w:cs="Times New Roman"/>
          <w:sz w:val="24"/>
          <w:szCs w:val="24"/>
        </w:rPr>
        <w:t xml:space="preserve"> лиги, федерации, фестивали и медийные спортивные п</w:t>
      </w:r>
      <w:r w:rsidR="006962EC" w:rsidRPr="00A72015">
        <w:rPr>
          <w:rFonts w:ascii="Times New Roman" w:hAnsi="Times New Roman" w:cs="Times New Roman"/>
          <w:sz w:val="24"/>
          <w:szCs w:val="24"/>
        </w:rPr>
        <w:t>роекты, укрепляя имидж платежной</w:t>
      </w:r>
      <w:r w:rsidRPr="00A72015">
        <w:rPr>
          <w:rFonts w:ascii="Times New Roman" w:hAnsi="Times New Roman" w:cs="Times New Roman"/>
          <w:sz w:val="24"/>
          <w:szCs w:val="24"/>
        </w:rPr>
        <w:t xml:space="preserve"> систем</w:t>
      </w:r>
      <w:r w:rsidR="006962EC" w:rsidRPr="00A72015">
        <w:rPr>
          <w:rFonts w:ascii="Times New Roman" w:hAnsi="Times New Roman" w:cs="Times New Roman"/>
          <w:sz w:val="24"/>
          <w:szCs w:val="24"/>
        </w:rPr>
        <w:t>ы «МИР» и Системы</w:t>
      </w:r>
      <w:r w:rsidRPr="00A72015">
        <w:rPr>
          <w:rFonts w:ascii="Times New Roman" w:hAnsi="Times New Roman" w:cs="Times New Roman"/>
          <w:sz w:val="24"/>
          <w:szCs w:val="24"/>
        </w:rPr>
        <w:t xml:space="preserve"> быстрых платежей (СБП) как доступных и технологичных решений, способствующих выстраиванию крепкой эмоциональной связи с целевыми группами потребителей. За </w:t>
      </w:r>
      <w:r w:rsidR="00094AAD" w:rsidRPr="00A72015">
        <w:rPr>
          <w:rFonts w:ascii="Times New Roman" w:hAnsi="Times New Roman" w:cs="Times New Roman"/>
          <w:sz w:val="24"/>
          <w:szCs w:val="24"/>
        </w:rPr>
        <w:t>последние годы</w:t>
      </w:r>
      <w:r w:rsidRPr="00A72015">
        <w:rPr>
          <w:rFonts w:ascii="Times New Roman" w:hAnsi="Times New Roman" w:cs="Times New Roman"/>
          <w:sz w:val="24"/>
          <w:szCs w:val="24"/>
        </w:rPr>
        <w:t xml:space="preserve"> компанией </w:t>
      </w:r>
      <w:r w:rsidR="006962EC" w:rsidRPr="00A72015">
        <w:rPr>
          <w:rFonts w:ascii="Times New Roman" w:hAnsi="Times New Roman" w:cs="Times New Roman"/>
          <w:sz w:val="24"/>
          <w:szCs w:val="24"/>
        </w:rPr>
        <w:t xml:space="preserve">было </w:t>
      </w:r>
      <w:r w:rsidRPr="00A72015">
        <w:rPr>
          <w:rFonts w:ascii="Times New Roman" w:hAnsi="Times New Roman" w:cs="Times New Roman"/>
          <w:sz w:val="24"/>
          <w:szCs w:val="24"/>
        </w:rPr>
        <w:t xml:space="preserve">реализовано свыше 100 интеграций. </w:t>
      </w:r>
    </w:p>
    <w:p w:rsidR="004C2185" w:rsidRPr="00A72015" w:rsidRDefault="004C2185" w:rsidP="00A72015">
      <w:pPr>
        <w:spacing w:after="0" w:line="240" w:lineRule="auto"/>
        <w:ind w:firstLine="709"/>
        <w:rPr>
          <w:rFonts w:ascii="Times New Roman" w:hAnsi="Times New Roman" w:cs="Times New Roman"/>
          <w:sz w:val="24"/>
          <w:szCs w:val="24"/>
        </w:rPr>
      </w:pPr>
      <w:r w:rsidRPr="00A72015">
        <w:rPr>
          <w:rFonts w:ascii="Times New Roman" w:hAnsi="Times New Roman" w:cs="Times New Roman"/>
          <w:bCs/>
          <w:sz w:val="24"/>
          <w:szCs w:val="24"/>
        </w:rPr>
        <w:t>Распределение инвестиций между брендами «МИР» и СБП</w:t>
      </w:r>
      <w:r w:rsidRPr="00A72015">
        <w:rPr>
          <w:rFonts w:ascii="Times New Roman" w:hAnsi="Times New Roman" w:cs="Times New Roman"/>
          <w:sz w:val="24"/>
          <w:szCs w:val="24"/>
        </w:rPr>
        <w:t xml:space="preserve"> осуществляется с учетом сопоставимости их атрибутов соответствующим аудиториям, а выбор конкретного бренда для интеграции в проект определяется доступной целевой группой в рамках потенциального партнерства. Такой подход позволяет расширить спонсорский портфель: «МИР» сейчас выступает титульным партнером Российской Премьер-лиги (РПЛ), Континентальной хоккейной лиги (КХЛ) и Федерации фигурного катания на коньках России (ФФКР), а СБП успешно интегрирована в знаковые проекты, включая Iron Star, Беговое сообщество, New Star, Rosa Fest x СБП и Лига Ставок Медиа Баскет.</w:t>
      </w:r>
    </w:p>
    <w:p w:rsidR="004C2185" w:rsidRPr="00A72015" w:rsidRDefault="004C2185" w:rsidP="00A72015">
      <w:pPr>
        <w:spacing w:after="0" w:line="240" w:lineRule="auto"/>
        <w:ind w:firstLine="709"/>
        <w:rPr>
          <w:rFonts w:ascii="Times New Roman" w:hAnsi="Times New Roman" w:cs="Times New Roman"/>
          <w:sz w:val="24"/>
          <w:szCs w:val="24"/>
        </w:rPr>
      </w:pPr>
      <w:r w:rsidRPr="00A72015">
        <w:rPr>
          <w:rFonts w:ascii="Times New Roman" w:hAnsi="Times New Roman" w:cs="Times New Roman"/>
          <w:bCs/>
          <w:sz w:val="24"/>
          <w:szCs w:val="24"/>
        </w:rPr>
        <w:t>РПЛ, КХЛ и ФФКР охватывают 55% широкой спортивной аудитории</w:t>
      </w:r>
      <w:r w:rsidRPr="00A72015">
        <w:rPr>
          <w:rFonts w:ascii="Times New Roman" w:hAnsi="Times New Roman" w:cs="Times New Roman"/>
          <w:sz w:val="24"/>
          <w:szCs w:val="24"/>
        </w:rPr>
        <w:t>, в связи с этим, для этих проектов задействуется флагманский бренд «МИР». Поскольку система позиционируется как национальная, ограничение доступа граждан к ее акциям и возможностям недопустимо, что исключает партнерств</w:t>
      </w:r>
      <w:r w:rsidR="008E39A4">
        <w:rPr>
          <w:rFonts w:ascii="Times New Roman" w:hAnsi="Times New Roman" w:cs="Times New Roman"/>
          <w:sz w:val="24"/>
          <w:szCs w:val="24"/>
        </w:rPr>
        <w:t>о</w:t>
      </w:r>
      <w:r w:rsidRPr="00A72015">
        <w:rPr>
          <w:rFonts w:ascii="Times New Roman" w:hAnsi="Times New Roman" w:cs="Times New Roman"/>
          <w:sz w:val="24"/>
          <w:szCs w:val="24"/>
        </w:rPr>
        <w:t xml:space="preserve"> с отдельными клубами в пользу лиг и федераций с целью равномерного охвата. Для привлечения молодых клиентов </w:t>
      </w:r>
      <w:r w:rsidRPr="00A72015">
        <w:rPr>
          <w:rFonts w:ascii="Times New Roman" w:hAnsi="Times New Roman" w:cs="Times New Roman"/>
          <w:sz w:val="24"/>
          <w:szCs w:val="24"/>
          <w:shd w:val="clear" w:color="auto" w:fill="FFFFFF"/>
        </w:rPr>
        <w:t>НСПК</w:t>
      </w:r>
      <w:r w:rsidRPr="00A72015">
        <w:rPr>
          <w:rFonts w:ascii="Times New Roman" w:hAnsi="Times New Roman" w:cs="Times New Roman"/>
          <w:sz w:val="24"/>
          <w:szCs w:val="24"/>
        </w:rPr>
        <w:t xml:space="preserve"> использует бренд СБП, выбирая проекты, позволяющие органично донести преимущества до целевой аудитории </w:t>
      </w:r>
      <w:r w:rsidR="008E39A4">
        <w:rPr>
          <w:rFonts w:ascii="Times New Roman" w:hAnsi="Times New Roman" w:cs="Times New Roman"/>
          <w:sz w:val="24"/>
          <w:szCs w:val="24"/>
        </w:rPr>
        <w:t>–</w:t>
      </w:r>
      <w:r w:rsidRPr="00A72015">
        <w:rPr>
          <w:rFonts w:ascii="Times New Roman" w:hAnsi="Times New Roman" w:cs="Times New Roman"/>
          <w:sz w:val="24"/>
          <w:szCs w:val="24"/>
        </w:rPr>
        <w:t xml:space="preserve"> цифровую функциональность, безопасность и оперативность транзакций </w:t>
      </w:r>
      <w:r w:rsidR="008E39A4">
        <w:rPr>
          <w:rFonts w:ascii="Times New Roman" w:hAnsi="Times New Roman" w:cs="Times New Roman"/>
          <w:sz w:val="24"/>
          <w:szCs w:val="24"/>
        </w:rPr>
        <w:t>–</w:t>
      </w:r>
      <w:r w:rsidRPr="00A72015">
        <w:rPr>
          <w:rFonts w:ascii="Times New Roman" w:hAnsi="Times New Roman" w:cs="Times New Roman"/>
          <w:sz w:val="24"/>
          <w:szCs w:val="24"/>
        </w:rPr>
        <w:t xml:space="preserve"> с ключевыми критериями в виде охвата и демографического профиля.</w:t>
      </w:r>
    </w:p>
    <w:p w:rsidR="00EE2275" w:rsidRPr="00946348" w:rsidRDefault="002E11A1" w:rsidP="00A72015">
      <w:pPr>
        <w:spacing w:after="0" w:line="240" w:lineRule="auto"/>
        <w:ind w:firstLine="708"/>
        <w:rPr>
          <w:rStyle w:val="inline-flex"/>
          <w:rFonts w:ascii="Times New Roman" w:eastAsia="Times New Roman" w:hAnsi="Times New Roman" w:cs="Times New Roman"/>
          <w:sz w:val="24"/>
          <w:szCs w:val="24"/>
          <w:lang w:eastAsia="ru-RU"/>
        </w:rPr>
      </w:pPr>
      <w:r w:rsidRPr="00946348">
        <w:rPr>
          <w:rStyle w:val="inline-flex"/>
          <w:rFonts w:ascii="Times New Roman" w:eastAsia="Times New Roman" w:hAnsi="Times New Roman" w:cs="Times New Roman"/>
          <w:sz w:val="24"/>
          <w:szCs w:val="24"/>
          <w:lang w:eastAsia="ru-RU"/>
        </w:rPr>
        <w:t xml:space="preserve">В </w:t>
      </w:r>
      <w:r w:rsidR="00B53996" w:rsidRPr="00946348">
        <w:rPr>
          <w:rStyle w:val="inline-flex"/>
          <w:rFonts w:ascii="Times New Roman" w:eastAsia="Times New Roman" w:hAnsi="Times New Roman" w:cs="Times New Roman"/>
          <w:i/>
          <w:sz w:val="24"/>
          <w:szCs w:val="24"/>
          <w:lang w:eastAsia="ru-RU"/>
        </w:rPr>
        <w:t>т</w:t>
      </w:r>
      <w:r w:rsidRPr="00946348">
        <w:rPr>
          <w:rStyle w:val="inline-flex"/>
          <w:rFonts w:ascii="Times New Roman" w:eastAsia="Times New Roman" w:hAnsi="Times New Roman" w:cs="Times New Roman"/>
          <w:i/>
          <w:sz w:val="24"/>
          <w:szCs w:val="24"/>
          <w:lang w:eastAsia="ru-RU"/>
        </w:rPr>
        <w:t>аблице 2</w:t>
      </w:r>
      <w:r w:rsidRPr="00946348">
        <w:rPr>
          <w:rStyle w:val="inline-flex"/>
          <w:rFonts w:ascii="Times New Roman" w:eastAsia="Times New Roman" w:hAnsi="Times New Roman" w:cs="Times New Roman"/>
          <w:sz w:val="24"/>
          <w:szCs w:val="24"/>
          <w:lang w:eastAsia="ru-RU"/>
        </w:rPr>
        <w:t xml:space="preserve"> сравнивается</w:t>
      </w:r>
      <w:r w:rsidR="00EE2275" w:rsidRPr="00946348">
        <w:rPr>
          <w:rStyle w:val="inline-flex"/>
          <w:rFonts w:ascii="Times New Roman" w:eastAsia="Times New Roman" w:hAnsi="Times New Roman" w:cs="Times New Roman"/>
          <w:sz w:val="24"/>
          <w:szCs w:val="24"/>
          <w:lang w:eastAsia="ru-RU"/>
        </w:rPr>
        <w:t xml:space="preserve"> </w:t>
      </w:r>
      <w:r w:rsidRPr="00946348">
        <w:rPr>
          <w:rStyle w:val="inline-flex"/>
          <w:rFonts w:ascii="Times New Roman" w:eastAsia="Times New Roman" w:hAnsi="Times New Roman" w:cs="Times New Roman"/>
          <w:sz w:val="24"/>
          <w:szCs w:val="24"/>
          <w:lang w:eastAsia="ru-RU"/>
        </w:rPr>
        <w:t>продвижение</w:t>
      </w:r>
      <w:r w:rsidR="00EE2275" w:rsidRPr="00946348">
        <w:rPr>
          <w:rStyle w:val="inline-flex"/>
          <w:rFonts w:ascii="Times New Roman" w:eastAsia="Times New Roman" w:hAnsi="Times New Roman" w:cs="Times New Roman"/>
          <w:sz w:val="24"/>
          <w:szCs w:val="24"/>
          <w:lang w:eastAsia="ru-RU"/>
        </w:rPr>
        <w:t xml:space="preserve"> платежных систем Visa, Mastercard и «МИР» через спортивные события </w:t>
      </w:r>
      <w:r w:rsidRPr="00946348">
        <w:rPr>
          <w:rStyle w:val="inline-flex"/>
          <w:rFonts w:ascii="Times New Roman" w:eastAsia="Times New Roman" w:hAnsi="Times New Roman" w:cs="Times New Roman"/>
          <w:sz w:val="24"/>
          <w:szCs w:val="24"/>
          <w:lang w:eastAsia="ru-RU"/>
        </w:rPr>
        <w:t>на российском</w:t>
      </w:r>
      <w:r w:rsidR="00EE2275" w:rsidRPr="00946348">
        <w:rPr>
          <w:rStyle w:val="inline-flex"/>
          <w:rFonts w:ascii="Times New Roman" w:eastAsia="Times New Roman" w:hAnsi="Times New Roman" w:cs="Times New Roman"/>
          <w:sz w:val="24"/>
          <w:szCs w:val="24"/>
          <w:lang w:eastAsia="ru-RU"/>
        </w:rPr>
        <w:t xml:space="preserve"> рынк</w:t>
      </w:r>
      <w:r w:rsidRPr="00946348">
        <w:rPr>
          <w:rStyle w:val="inline-flex"/>
          <w:rFonts w:ascii="Times New Roman" w:eastAsia="Times New Roman" w:hAnsi="Times New Roman" w:cs="Times New Roman"/>
          <w:sz w:val="24"/>
          <w:szCs w:val="24"/>
          <w:lang w:eastAsia="ru-RU"/>
        </w:rPr>
        <w:t xml:space="preserve">е. </w:t>
      </w:r>
      <w:r w:rsidR="0066274C" w:rsidRPr="00946348">
        <w:rPr>
          <w:rStyle w:val="inline-flex"/>
          <w:rFonts w:ascii="Times New Roman" w:eastAsia="Times New Roman" w:hAnsi="Times New Roman" w:cs="Times New Roman"/>
          <w:sz w:val="24"/>
          <w:szCs w:val="24"/>
          <w:lang w:eastAsia="ru-RU"/>
        </w:rPr>
        <w:t xml:space="preserve">Согласно проанализированной стратегии VISA, бренд поддерживал спортивные события, проводимые в России только глобального уровня </w:t>
      </w:r>
      <w:r w:rsidRPr="00946348">
        <w:rPr>
          <w:rStyle w:val="inline-flex"/>
          <w:rFonts w:ascii="Times New Roman" w:eastAsia="Times New Roman" w:hAnsi="Times New Roman" w:cs="Times New Roman"/>
          <w:sz w:val="24"/>
          <w:szCs w:val="24"/>
          <w:lang w:eastAsia="ru-RU"/>
        </w:rPr>
        <w:t xml:space="preserve">– Зимние Олимпийские игры в Сочи и Чемпионат мира по футболу. В свою очередь, </w:t>
      </w:r>
      <w:r w:rsidR="00EE2275" w:rsidRPr="00946348">
        <w:rPr>
          <w:rStyle w:val="inline-flex"/>
          <w:rFonts w:ascii="Times New Roman" w:eastAsia="Times New Roman" w:hAnsi="Times New Roman" w:cs="Times New Roman"/>
          <w:sz w:val="24"/>
          <w:szCs w:val="24"/>
          <w:lang w:eastAsia="ru-RU"/>
        </w:rPr>
        <w:t>Mastercard</w:t>
      </w:r>
      <w:r w:rsidRPr="00946348">
        <w:rPr>
          <w:rStyle w:val="inline-flex"/>
          <w:rFonts w:ascii="Times New Roman" w:eastAsia="Times New Roman" w:hAnsi="Times New Roman" w:cs="Times New Roman"/>
          <w:sz w:val="24"/>
          <w:szCs w:val="24"/>
          <w:lang w:eastAsia="ru-RU"/>
        </w:rPr>
        <w:t xml:space="preserve"> и «МИР» выстроили свое позиционирование на этом рынке через взаимодействие с самыми популярными видами спорта в России – футбол, хоккей и фигурное катание</w:t>
      </w:r>
      <w:r w:rsidR="00EE2275" w:rsidRPr="00946348">
        <w:rPr>
          <w:rStyle w:val="inline-flex"/>
          <w:rFonts w:ascii="Times New Roman" w:eastAsia="Times New Roman" w:hAnsi="Times New Roman" w:cs="Times New Roman"/>
          <w:sz w:val="24"/>
          <w:szCs w:val="24"/>
          <w:lang w:eastAsia="ru-RU"/>
        </w:rPr>
        <w:t xml:space="preserve">.   </w:t>
      </w:r>
    </w:p>
    <w:p w:rsidR="00EE2275" w:rsidRPr="00946348" w:rsidRDefault="00EE2275" w:rsidP="00A72015">
      <w:pPr>
        <w:spacing w:after="0" w:line="240" w:lineRule="auto"/>
        <w:ind w:firstLine="708"/>
        <w:rPr>
          <w:rStyle w:val="inline-flex"/>
          <w:rFonts w:ascii="Times New Roman" w:eastAsia="Times New Roman" w:hAnsi="Times New Roman" w:cs="Times New Roman"/>
          <w:sz w:val="24"/>
          <w:szCs w:val="24"/>
          <w:lang w:eastAsia="ru-RU"/>
        </w:rPr>
      </w:pPr>
    </w:p>
    <w:p w:rsidR="00946348" w:rsidRPr="00946348" w:rsidRDefault="002E11A1" w:rsidP="00A720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46348">
        <w:rPr>
          <w:rFonts w:ascii="Times New Roman" w:eastAsia="Calibri" w:hAnsi="Times New Roman" w:cs="Times New Roman"/>
          <w:sz w:val="24"/>
          <w:szCs w:val="24"/>
          <w:lang w:eastAsia="ru-RU"/>
        </w:rPr>
        <w:t>Таблица 2</w:t>
      </w:r>
    </w:p>
    <w:p w:rsidR="00EE2275" w:rsidRPr="00946348" w:rsidRDefault="00EE2275" w:rsidP="00A720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46348">
        <w:rPr>
          <w:rFonts w:ascii="Times New Roman" w:eastAsia="Calibri" w:hAnsi="Times New Roman" w:cs="Times New Roman"/>
          <w:sz w:val="24"/>
          <w:szCs w:val="24"/>
          <w:lang w:eastAsia="ru-RU"/>
        </w:rPr>
        <w:t xml:space="preserve">Сравнение продвижения платежных систем </w:t>
      </w:r>
      <w:r w:rsidR="002E11A1" w:rsidRPr="00946348">
        <w:rPr>
          <w:rFonts w:ascii="Times New Roman" w:eastAsia="Calibri" w:hAnsi="Times New Roman" w:cs="Times New Roman"/>
          <w:sz w:val="24"/>
          <w:szCs w:val="24"/>
          <w:lang w:eastAsia="ru-RU"/>
        </w:rPr>
        <w:t>на российском рынке</w:t>
      </w:r>
    </w:p>
    <w:p w:rsidR="00946348" w:rsidRPr="00946348" w:rsidRDefault="00EE2275" w:rsidP="00A720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46348">
        <w:rPr>
          <w:rFonts w:ascii="Times New Roman" w:eastAsia="Calibri" w:hAnsi="Times New Roman" w:cs="Times New Roman"/>
          <w:sz w:val="24"/>
          <w:szCs w:val="24"/>
          <w:lang w:val="en-US" w:eastAsia="ru-RU"/>
        </w:rPr>
        <w:t xml:space="preserve">Table </w:t>
      </w:r>
      <w:r w:rsidR="006411B0" w:rsidRPr="00946348">
        <w:rPr>
          <w:rFonts w:ascii="Times New Roman" w:eastAsia="Calibri" w:hAnsi="Times New Roman" w:cs="Times New Roman"/>
          <w:sz w:val="24"/>
          <w:szCs w:val="24"/>
          <w:lang w:val="en-US" w:eastAsia="ru-RU"/>
        </w:rPr>
        <w:t>2</w:t>
      </w:r>
    </w:p>
    <w:p w:rsidR="00EE2275" w:rsidRPr="00946348" w:rsidRDefault="006411B0" w:rsidP="00A72015">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946348">
        <w:rPr>
          <w:rFonts w:ascii="Times New Roman" w:eastAsia="Calibri" w:hAnsi="Times New Roman" w:cs="Times New Roman"/>
          <w:sz w:val="24"/>
          <w:szCs w:val="24"/>
          <w:lang w:val="en-US" w:eastAsia="ru-RU"/>
        </w:rPr>
        <w:t>Comparison of payment systems promotion on the Russian market</w:t>
      </w:r>
    </w:p>
    <w:p w:rsidR="006411B0" w:rsidRPr="00946348" w:rsidRDefault="00115E7C" w:rsidP="00A72015">
      <w:pPr>
        <w:widowControl w:val="0"/>
        <w:autoSpaceDE w:val="0"/>
        <w:autoSpaceDN w:val="0"/>
        <w:adjustRightInd w:val="0"/>
        <w:spacing w:after="0" w:line="240" w:lineRule="auto"/>
        <w:rPr>
          <w:rFonts w:ascii="Times New Roman" w:hAnsi="Times New Roman" w:cs="Times New Roman"/>
          <w:sz w:val="24"/>
          <w:szCs w:val="24"/>
          <w:lang w:val="en-US"/>
        </w:rPr>
      </w:pPr>
      <w:r w:rsidRPr="00946348">
        <w:rPr>
          <w:rFonts w:ascii="Times New Roman" w:hAnsi="Times New Roman" w:cs="Times New Roman"/>
          <w:sz w:val="24"/>
          <w:szCs w:val="24"/>
          <w:lang w:val="en-US" w:eastAsia="ru-RU"/>
        </w:rPr>
        <w:fldChar w:fldCharType="begin"/>
      </w:r>
      <w:r w:rsidR="006411B0" w:rsidRPr="00946348">
        <w:rPr>
          <w:rFonts w:ascii="Times New Roman" w:hAnsi="Times New Roman" w:cs="Times New Roman"/>
          <w:sz w:val="24"/>
          <w:szCs w:val="24"/>
          <w:lang w:val="en-US" w:eastAsia="ru-RU"/>
        </w:rPr>
        <w:instrText xml:space="preserve"> LINK Excel.Sheet.12 "E:\\1_УЧЕБНИКИ\\1_РМОУ_Учебник\\Глава_Спонсорство_Таблицы.xlsx" "МИР!R11C3:R15C6" \a \f 4 \h </w:instrText>
      </w:r>
      <w:r w:rsidR="001136C5" w:rsidRPr="00946348">
        <w:rPr>
          <w:rFonts w:ascii="Times New Roman" w:hAnsi="Times New Roman" w:cs="Times New Roman"/>
          <w:sz w:val="24"/>
          <w:szCs w:val="24"/>
          <w:lang w:val="en-US" w:eastAsia="ru-RU"/>
        </w:rPr>
        <w:instrText xml:space="preserve"> \* MERGEFORMAT </w:instrText>
      </w:r>
      <w:r w:rsidRPr="00946348">
        <w:rPr>
          <w:rFonts w:ascii="Times New Roman" w:hAnsi="Times New Roman" w:cs="Times New Roman"/>
          <w:sz w:val="24"/>
          <w:szCs w:val="24"/>
          <w:lang w:val="en-US" w:eastAsia="ru-RU"/>
        </w:rPr>
        <w:fldChar w:fldCharType="separate"/>
      </w:r>
    </w:p>
    <w:tbl>
      <w:tblPr>
        <w:tblW w:w="7706" w:type="dxa"/>
        <w:tblLook w:val="04A0"/>
      </w:tblPr>
      <w:tblGrid>
        <w:gridCol w:w="3056"/>
        <w:gridCol w:w="1411"/>
        <w:gridCol w:w="1250"/>
        <w:gridCol w:w="1989"/>
      </w:tblGrid>
      <w:tr w:rsidR="006411B0" w:rsidRPr="00946348" w:rsidTr="00946348">
        <w:trPr>
          <w:trHeight w:val="20"/>
        </w:trPr>
        <w:tc>
          <w:tcPr>
            <w:tcW w:w="3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11B0" w:rsidRPr="00946348" w:rsidRDefault="006411B0" w:rsidP="00946348">
            <w:pPr>
              <w:spacing w:after="0" w:line="240" w:lineRule="auto"/>
              <w:jc w:val="center"/>
              <w:rPr>
                <w:rFonts w:ascii="Times New Roman" w:eastAsia="Times New Roman" w:hAnsi="Times New Roman" w:cs="Times New Roman"/>
                <w:bCs/>
                <w:i/>
                <w:sz w:val="20"/>
                <w:szCs w:val="20"/>
                <w:lang w:eastAsia="ru-RU"/>
              </w:rPr>
            </w:pPr>
            <w:r w:rsidRPr="00946348">
              <w:rPr>
                <w:rFonts w:ascii="Times New Roman" w:eastAsia="Times New Roman" w:hAnsi="Times New Roman" w:cs="Times New Roman"/>
                <w:bCs/>
                <w:i/>
                <w:sz w:val="20"/>
                <w:szCs w:val="20"/>
                <w:lang w:eastAsia="ru-RU"/>
              </w:rPr>
              <w:t>Спортивные события</w:t>
            </w:r>
          </w:p>
        </w:tc>
        <w:tc>
          <w:tcPr>
            <w:tcW w:w="46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411B0" w:rsidRPr="00946348" w:rsidRDefault="006411B0" w:rsidP="00946348">
            <w:pPr>
              <w:spacing w:after="0" w:line="240" w:lineRule="auto"/>
              <w:jc w:val="center"/>
              <w:rPr>
                <w:rFonts w:ascii="Times New Roman" w:eastAsia="Times New Roman" w:hAnsi="Times New Roman" w:cs="Times New Roman"/>
                <w:bCs/>
                <w:i/>
                <w:sz w:val="20"/>
                <w:szCs w:val="20"/>
                <w:lang w:eastAsia="ru-RU"/>
              </w:rPr>
            </w:pPr>
            <w:r w:rsidRPr="00946348">
              <w:rPr>
                <w:rFonts w:ascii="Times New Roman" w:eastAsia="Times New Roman" w:hAnsi="Times New Roman" w:cs="Times New Roman"/>
                <w:bCs/>
                <w:i/>
                <w:sz w:val="20"/>
                <w:szCs w:val="20"/>
                <w:lang w:eastAsia="ru-RU"/>
              </w:rPr>
              <w:t>Платежные системы</w:t>
            </w:r>
          </w:p>
        </w:tc>
      </w:tr>
      <w:tr w:rsidR="006411B0" w:rsidRPr="00946348" w:rsidTr="00946348">
        <w:trPr>
          <w:trHeight w:val="20"/>
        </w:trPr>
        <w:tc>
          <w:tcPr>
            <w:tcW w:w="3056" w:type="dxa"/>
            <w:vMerge/>
            <w:tcBorders>
              <w:top w:val="single" w:sz="4" w:space="0" w:color="auto"/>
              <w:left w:val="single" w:sz="4" w:space="0" w:color="auto"/>
              <w:bottom w:val="single" w:sz="4" w:space="0" w:color="000000"/>
              <w:right w:val="single" w:sz="4" w:space="0" w:color="auto"/>
            </w:tcBorders>
            <w:vAlign w:val="center"/>
            <w:hideMark/>
          </w:tcPr>
          <w:p w:rsidR="006411B0" w:rsidRPr="00946348" w:rsidRDefault="006411B0" w:rsidP="00946348">
            <w:pPr>
              <w:spacing w:after="0" w:line="240" w:lineRule="auto"/>
              <w:jc w:val="center"/>
              <w:rPr>
                <w:rFonts w:ascii="Times New Roman" w:eastAsia="Times New Roman" w:hAnsi="Times New Roman" w:cs="Times New Roman"/>
                <w:bCs/>
                <w:i/>
                <w:sz w:val="20"/>
                <w:szCs w:val="20"/>
                <w:lang w:eastAsia="ru-RU"/>
              </w:rPr>
            </w:pPr>
          </w:p>
        </w:tc>
        <w:tc>
          <w:tcPr>
            <w:tcW w:w="1411" w:type="dxa"/>
            <w:tcBorders>
              <w:top w:val="nil"/>
              <w:left w:val="nil"/>
              <w:bottom w:val="single" w:sz="4" w:space="0" w:color="auto"/>
              <w:right w:val="single" w:sz="4" w:space="0" w:color="auto"/>
            </w:tcBorders>
            <w:shd w:val="clear" w:color="auto" w:fill="auto"/>
            <w:noWrap/>
            <w:vAlign w:val="center"/>
            <w:hideMark/>
          </w:tcPr>
          <w:p w:rsidR="006411B0" w:rsidRPr="00946348" w:rsidRDefault="006411B0" w:rsidP="00946348">
            <w:pPr>
              <w:spacing w:after="0" w:line="240" w:lineRule="auto"/>
              <w:jc w:val="center"/>
              <w:rPr>
                <w:rFonts w:ascii="Times New Roman" w:eastAsia="Times New Roman" w:hAnsi="Times New Roman" w:cs="Times New Roman"/>
                <w:bCs/>
                <w:i/>
                <w:sz w:val="20"/>
                <w:szCs w:val="20"/>
                <w:lang w:eastAsia="ru-RU"/>
              </w:rPr>
            </w:pPr>
            <w:r w:rsidRPr="00946348">
              <w:rPr>
                <w:rFonts w:ascii="Times New Roman" w:eastAsia="Times New Roman" w:hAnsi="Times New Roman" w:cs="Times New Roman"/>
                <w:bCs/>
                <w:i/>
                <w:sz w:val="20"/>
                <w:szCs w:val="20"/>
                <w:lang w:eastAsia="ru-RU"/>
              </w:rPr>
              <w:t>Visa</w:t>
            </w:r>
          </w:p>
        </w:tc>
        <w:tc>
          <w:tcPr>
            <w:tcW w:w="1250" w:type="dxa"/>
            <w:tcBorders>
              <w:top w:val="nil"/>
              <w:left w:val="nil"/>
              <w:bottom w:val="single" w:sz="4" w:space="0" w:color="auto"/>
              <w:right w:val="single" w:sz="4" w:space="0" w:color="auto"/>
            </w:tcBorders>
            <w:shd w:val="clear" w:color="auto" w:fill="auto"/>
            <w:noWrap/>
            <w:vAlign w:val="center"/>
            <w:hideMark/>
          </w:tcPr>
          <w:p w:rsidR="006411B0" w:rsidRPr="00946348" w:rsidRDefault="006411B0" w:rsidP="00946348">
            <w:pPr>
              <w:spacing w:after="0" w:line="240" w:lineRule="auto"/>
              <w:jc w:val="center"/>
              <w:rPr>
                <w:rFonts w:ascii="Times New Roman" w:eastAsia="Times New Roman" w:hAnsi="Times New Roman" w:cs="Times New Roman"/>
                <w:bCs/>
                <w:i/>
                <w:sz w:val="20"/>
                <w:szCs w:val="20"/>
                <w:lang w:eastAsia="ru-RU"/>
              </w:rPr>
            </w:pPr>
            <w:r w:rsidRPr="00946348">
              <w:rPr>
                <w:rFonts w:ascii="Times New Roman" w:eastAsia="Times New Roman" w:hAnsi="Times New Roman" w:cs="Times New Roman"/>
                <w:bCs/>
                <w:i/>
                <w:sz w:val="20"/>
                <w:szCs w:val="20"/>
                <w:lang w:eastAsia="ru-RU"/>
              </w:rPr>
              <w:t>Mastercard</w:t>
            </w:r>
          </w:p>
        </w:tc>
        <w:tc>
          <w:tcPr>
            <w:tcW w:w="1989" w:type="dxa"/>
            <w:tcBorders>
              <w:top w:val="nil"/>
              <w:left w:val="nil"/>
              <w:bottom w:val="single" w:sz="4" w:space="0" w:color="auto"/>
              <w:right w:val="single" w:sz="4" w:space="0" w:color="auto"/>
            </w:tcBorders>
            <w:shd w:val="clear" w:color="auto" w:fill="auto"/>
            <w:noWrap/>
            <w:vAlign w:val="center"/>
            <w:hideMark/>
          </w:tcPr>
          <w:p w:rsidR="006411B0" w:rsidRPr="00946348" w:rsidRDefault="006411B0" w:rsidP="00946348">
            <w:pPr>
              <w:spacing w:after="0" w:line="240" w:lineRule="auto"/>
              <w:jc w:val="center"/>
              <w:rPr>
                <w:rFonts w:ascii="Times New Roman" w:eastAsia="Times New Roman" w:hAnsi="Times New Roman" w:cs="Times New Roman"/>
                <w:bCs/>
                <w:i/>
                <w:sz w:val="20"/>
                <w:szCs w:val="20"/>
                <w:lang w:eastAsia="ru-RU"/>
              </w:rPr>
            </w:pPr>
            <w:r w:rsidRPr="00946348">
              <w:rPr>
                <w:rFonts w:ascii="Times New Roman" w:eastAsia="Times New Roman" w:hAnsi="Times New Roman" w:cs="Times New Roman"/>
                <w:bCs/>
                <w:i/>
                <w:sz w:val="20"/>
                <w:szCs w:val="20"/>
                <w:lang w:eastAsia="ru-RU"/>
              </w:rPr>
              <w:t>МИР</w:t>
            </w:r>
          </w:p>
        </w:tc>
      </w:tr>
      <w:tr w:rsidR="006411B0" w:rsidRPr="00946348" w:rsidTr="00946348">
        <w:trPr>
          <w:trHeight w:val="20"/>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Олимпийские игры 2014 в Сочи</w:t>
            </w:r>
          </w:p>
        </w:tc>
        <w:tc>
          <w:tcPr>
            <w:tcW w:w="1411"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Спонсор ОИ</w:t>
            </w:r>
          </w:p>
        </w:tc>
        <w:tc>
          <w:tcPr>
            <w:tcW w:w="1250"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 xml:space="preserve"> -</w:t>
            </w:r>
          </w:p>
        </w:tc>
        <w:tc>
          <w:tcPr>
            <w:tcW w:w="1989"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 xml:space="preserve"> -</w:t>
            </w:r>
          </w:p>
        </w:tc>
      </w:tr>
      <w:tr w:rsidR="006411B0" w:rsidRPr="00946348" w:rsidTr="00946348">
        <w:trPr>
          <w:trHeight w:val="20"/>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 xml:space="preserve">Чемпионат мира FIFA-2018 </w:t>
            </w:r>
          </w:p>
        </w:tc>
        <w:tc>
          <w:tcPr>
            <w:tcW w:w="1411"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Спонсор ЧМ</w:t>
            </w:r>
          </w:p>
        </w:tc>
        <w:tc>
          <w:tcPr>
            <w:tcW w:w="1250"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 xml:space="preserve"> -</w:t>
            </w:r>
          </w:p>
        </w:tc>
        <w:tc>
          <w:tcPr>
            <w:tcW w:w="1989"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 xml:space="preserve"> -</w:t>
            </w:r>
          </w:p>
        </w:tc>
      </w:tr>
      <w:tr w:rsidR="006411B0" w:rsidRPr="00946348" w:rsidTr="00946348">
        <w:trPr>
          <w:trHeight w:val="20"/>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Другие турниры</w:t>
            </w:r>
          </w:p>
        </w:tc>
        <w:tc>
          <w:tcPr>
            <w:tcW w:w="1411"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 xml:space="preserve"> -</w:t>
            </w:r>
          </w:p>
        </w:tc>
        <w:tc>
          <w:tcPr>
            <w:tcW w:w="1250"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КХЛ, РПЛ</w:t>
            </w:r>
          </w:p>
        </w:tc>
        <w:tc>
          <w:tcPr>
            <w:tcW w:w="1989" w:type="dxa"/>
            <w:tcBorders>
              <w:top w:val="nil"/>
              <w:left w:val="nil"/>
              <w:bottom w:val="single" w:sz="4" w:space="0" w:color="auto"/>
              <w:right w:val="single" w:sz="4" w:space="0" w:color="auto"/>
            </w:tcBorders>
            <w:shd w:val="clear" w:color="auto" w:fill="auto"/>
            <w:vAlign w:val="center"/>
            <w:hideMark/>
          </w:tcPr>
          <w:p w:rsidR="006411B0" w:rsidRPr="00946348" w:rsidRDefault="006411B0" w:rsidP="00A72015">
            <w:pPr>
              <w:spacing w:after="0" w:line="240" w:lineRule="auto"/>
              <w:rPr>
                <w:rFonts w:ascii="Times New Roman" w:eastAsia="Times New Roman" w:hAnsi="Times New Roman" w:cs="Times New Roman"/>
                <w:sz w:val="20"/>
                <w:szCs w:val="20"/>
                <w:lang w:eastAsia="ru-RU"/>
              </w:rPr>
            </w:pPr>
            <w:r w:rsidRPr="00946348">
              <w:rPr>
                <w:rFonts w:ascii="Times New Roman" w:eastAsia="Times New Roman" w:hAnsi="Times New Roman" w:cs="Times New Roman"/>
                <w:sz w:val="20"/>
                <w:szCs w:val="20"/>
                <w:lang w:eastAsia="ru-RU"/>
              </w:rPr>
              <w:t>КХЛ, РПЛ и ФФКР</w:t>
            </w:r>
          </w:p>
        </w:tc>
      </w:tr>
    </w:tbl>
    <w:p w:rsidR="006411B0" w:rsidRPr="00A72015" w:rsidRDefault="00115E7C" w:rsidP="00A72015">
      <w:pPr>
        <w:widowControl w:val="0"/>
        <w:autoSpaceDE w:val="0"/>
        <w:autoSpaceDN w:val="0"/>
        <w:adjustRightInd w:val="0"/>
        <w:spacing w:after="0" w:line="240" w:lineRule="auto"/>
        <w:rPr>
          <w:rFonts w:ascii="Times New Roman" w:eastAsia="Calibri" w:hAnsi="Times New Roman" w:cs="Times New Roman"/>
          <w:b/>
          <w:sz w:val="24"/>
          <w:szCs w:val="24"/>
          <w:lang w:val="en-US" w:eastAsia="ru-RU"/>
        </w:rPr>
      </w:pPr>
      <w:r w:rsidRPr="00946348">
        <w:rPr>
          <w:rFonts w:ascii="Times New Roman" w:eastAsia="Calibri" w:hAnsi="Times New Roman" w:cs="Times New Roman"/>
          <w:b/>
          <w:sz w:val="24"/>
          <w:szCs w:val="24"/>
          <w:lang w:val="en-US" w:eastAsia="ru-RU"/>
        </w:rPr>
        <w:fldChar w:fldCharType="end"/>
      </w:r>
    </w:p>
    <w:p w:rsidR="004C2185" w:rsidRPr="00A72015" w:rsidRDefault="004C2185" w:rsidP="00A72015">
      <w:pPr>
        <w:spacing w:after="0" w:line="240" w:lineRule="auto"/>
        <w:ind w:firstLine="709"/>
        <w:rPr>
          <w:rFonts w:ascii="Times New Roman" w:hAnsi="Times New Roman" w:cs="Times New Roman"/>
          <w:sz w:val="24"/>
          <w:szCs w:val="24"/>
        </w:rPr>
      </w:pPr>
      <w:r w:rsidRPr="00A72015">
        <w:rPr>
          <w:rFonts w:ascii="Times New Roman" w:hAnsi="Times New Roman" w:cs="Times New Roman"/>
          <w:bCs/>
          <w:sz w:val="24"/>
          <w:szCs w:val="24"/>
        </w:rPr>
        <w:t>Эффективность взаимодействия с аудиторией российского спорта оценивается по комплексу критериев, ориентированных на медийность, охват и брендинговые возможности спортивных активов.</w:t>
      </w:r>
      <w:r w:rsidRPr="00A72015">
        <w:rPr>
          <w:rFonts w:ascii="Times New Roman" w:hAnsi="Times New Roman" w:cs="Times New Roman"/>
          <w:sz w:val="24"/>
          <w:szCs w:val="24"/>
        </w:rPr>
        <w:t xml:space="preserve"> В контексте деятельности Национальной системы платежных карт главными показателями эффективной работы выступают спортивные активы с высокой медийностью во всех каналах коммуникации, включая большое количество прямых трансляций на различных платформах (ТВ-каналы «Матч ТВ», «Окко Спорт», стриминговые сервисы). Суммарный телевизионный охват трех ключевых спортивных </w:t>
      </w:r>
      <w:r w:rsidR="006962EC" w:rsidRPr="00A72015">
        <w:rPr>
          <w:rFonts w:ascii="Times New Roman" w:hAnsi="Times New Roman" w:cs="Times New Roman"/>
          <w:sz w:val="24"/>
          <w:szCs w:val="24"/>
        </w:rPr>
        <w:t xml:space="preserve">проектов </w:t>
      </w:r>
      <w:r w:rsidR="00132EE4">
        <w:rPr>
          <w:rFonts w:ascii="Times New Roman" w:hAnsi="Times New Roman" w:cs="Times New Roman"/>
          <w:sz w:val="24"/>
          <w:szCs w:val="24"/>
        </w:rPr>
        <w:t>–</w:t>
      </w:r>
      <w:r w:rsidR="006962EC" w:rsidRPr="00A72015">
        <w:rPr>
          <w:rFonts w:ascii="Times New Roman" w:hAnsi="Times New Roman" w:cs="Times New Roman"/>
          <w:sz w:val="24"/>
          <w:szCs w:val="24"/>
        </w:rPr>
        <w:t xml:space="preserve"> РПЛ, КХЛ и</w:t>
      </w:r>
      <w:r w:rsidRPr="00A72015">
        <w:rPr>
          <w:rFonts w:ascii="Times New Roman" w:hAnsi="Times New Roman" w:cs="Times New Roman"/>
          <w:sz w:val="24"/>
          <w:szCs w:val="24"/>
        </w:rPr>
        <w:t xml:space="preserve"> </w:t>
      </w:r>
      <w:r w:rsidR="006962EC" w:rsidRPr="00A72015">
        <w:rPr>
          <w:rFonts w:ascii="Times New Roman" w:hAnsi="Times New Roman" w:cs="Times New Roman"/>
          <w:sz w:val="24"/>
          <w:szCs w:val="24"/>
        </w:rPr>
        <w:t>ФФККР</w:t>
      </w:r>
      <w:r w:rsidRPr="00A72015">
        <w:rPr>
          <w:rFonts w:ascii="Times New Roman" w:hAnsi="Times New Roman" w:cs="Times New Roman"/>
          <w:sz w:val="24"/>
          <w:szCs w:val="24"/>
        </w:rPr>
        <w:t xml:space="preserve"> достигает </w:t>
      </w:r>
      <w:r w:rsidRPr="00A72015">
        <w:rPr>
          <w:rFonts w:ascii="Times New Roman" w:hAnsi="Times New Roman" w:cs="Times New Roman"/>
          <w:bCs/>
          <w:sz w:val="24"/>
          <w:szCs w:val="24"/>
        </w:rPr>
        <w:t>66,9 млн человек</w:t>
      </w:r>
      <w:r w:rsidRPr="00A72015">
        <w:rPr>
          <w:rFonts w:ascii="Times New Roman" w:hAnsi="Times New Roman" w:cs="Times New Roman"/>
          <w:sz w:val="24"/>
          <w:szCs w:val="24"/>
        </w:rPr>
        <w:t xml:space="preserve">, дополненный потенциалом </w:t>
      </w:r>
      <w:r w:rsidRPr="00A72015">
        <w:rPr>
          <w:rFonts w:ascii="Times New Roman" w:hAnsi="Times New Roman" w:cs="Times New Roman"/>
          <w:bCs/>
          <w:sz w:val="24"/>
          <w:szCs w:val="24"/>
        </w:rPr>
        <w:t>30,1 млн</w:t>
      </w:r>
      <w:r w:rsidRPr="00A72015">
        <w:rPr>
          <w:rFonts w:ascii="Times New Roman" w:hAnsi="Times New Roman" w:cs="Times New Roman"/>
          <w:sz w:val="24"/>
          <w:szCs w:val="24"/>
        </w:rPr>
        <w:t xml:space="preserve"> человек в беге как</w:t>
      </w:r>
      <w:r w:rsidR="00132EE4">
        <w:rPr>
          <w:rFonts w:ascii="Times New Roman" w:hAnsi="Times New Roman" w:cs="Times New Roman"/>
          <w:sz w:val="24"/>
          <w:szCs w:val="24"/>
        </w:rPr>
        <w:t xml:space="preserve"> наиболее массовом виде спорта. Д</w:t>
      </w:r>
      <w:r w:rsidRPr="00A72015">
        <w:rPr>
          <w:rFonts w:ascii="Times New Roman" w:hAnsi="Times New Roman" w:cs="Times New Roman"/>
          <w:sz w:val="24"/>
          <w:szCs w:val="24"/>
        </w:rPr>
        <w:t xml:space="preserve">ополнительно учитываются частота и продолжительность опций брендинга в трансляциях (логотипы на форме, баннеры, упоминания комментаторов), а также суммарная посещаемость матчей и соревнований, отражающая оффлайн-потенциал для локальных активаций. Такой подход позволяет НСПК </w:t>
      </w:r>
      <w:r w:rsidRPr="00A72015">
        <w:rPr>
          <w:rFonts w:ascii="Times New Roman" w:hAnsi="Times New Roman" w:cs="Times New Roman"/>
          <w:sz w:val="24"/>
          <w:szCs w:val="24"/>
        </w:rPr>
        <w:lastRenderedPageBreak/>
        <w:t xml:space="preserve">количественно измерять отдачу от спонсорства через метрики охвата и вовлеченности, подтверждая стратегическую ценность партнерств с лигами, федерациями и фестивалями спортивной направленности. </w:t>
      </w:r>
    </w:p>
    <w:p w:rsidR="004C2185" w:rsidRPr="00A72015" w:rsidRDefault="004C2185" w:rsidP="002D5F93">
      <w:pPr>
        <w:spacing w:after="0" w:line="240" w:lineRule="auto"/>
        <w:ind w:firstLine="709"/>
        <w:rPr>
          <w:rFonts w:ascii="Times New Roman" w:hAnsi="Times New Roman" w:cs="Times New Roman"/>
          <w:sz w:val="24"/>
          <w:szCs w:val="24"/>
        </w:rPr>
      </w:pPr>
      <w:r w:rsidRPr="00A72015">
        <w:rPr>
          <w:rFonts w:ascii="Times New Roman" w:hAnsi="Times New Roman" w:cs="Times New Roman"/>
          <w:bCs/>
          <w:sz w:val="24"/>
          <w:szCs w:val="24"/>
        </w:rPr>
        <w:t>Все спонсорские активации бренда направлены на удовлетворение ключевых потребностей болельщиков, связанных с финансовыми стимулами и развлечениями</w:t>
      </w:r>
      <w:r w:rsidRPr="00A72015">
        <w:rPr>
          <w:rFonts w:ascii="Times New Roman" w:hAnsi="Times New Roman" w:cs="Times New Roman"/>
          <w:sz w:val="24"/>
          <w:szCs w:val="24"/>
        </w:rPr>
        <w:t xml:space="preserve">. Основными из них выступают </w:t>
      </w:r>
      <w:r w:rsidRPr="00A72015">
        <w:rPr>
          <w:rFonts w:ascii="Times New Roman" w:hAnsi="Times New Roman" w:cs="Times New Roman"/>
          <w:bCs/>
          <w:sz w:val="24"/>
          <w:szCs w:val="24"/>
        </w:rPr>
        <w:t>экономическая выгода</w:t>
      </w:r>
      <w:r w:rsidRPr="00A72015">
        <w:rPr>
          <w:rFonts w:ascii="Times New Roman" w:hAnsi="Times New Roman" w:cs="Times New Roman"/>
          <w:sz w:val="24"/>
          <w:szCs w:val="24"/>
        </w:rPr>
        <w:t xml:space="preserve"> при покупке билетов (предоставление кэшбэка), а также </w:t>
      </w:r>
      <w:r w:rsidRPr="00A72015">
        <w:rPr>
          <w:rFonts w:ascii="Times New Roman" w:hAnsi="Times New Roman" w:cs="Times New Roman"/>
          <w:bCs/>
          <w:sz w:val="24"/>
          <w:szCs w:val="24"/>
        </w:rPr>
        <w:t>развлекательный и конкурсный опыт:</w:t>
      </w:r>
      <w:r w:rsidRPr="00A72015">
        <w:rPr>
          <w:rFonts w:ascii="Times New Roman" w:hAnsi="Times New Roman" w:cs="Times New Roman"/>
          <w:sz w:val="24"/>
          <w:szCs w:val="24"/>
        </w:rPr>
        <w:t xml:space="preserve"> организация активаций с возможностью выигрыша призов в офлайн-формате (BTL-зоны на стадионах с интерактивными стендами) и в онлайн (мобильные приложения, социальные сети), стимулирующие эмоциональное вовлечение и генерацию вирусного контента в цифровых каналах.</w:t>
      </w:r>
    </w:p>
    <w:p w:rsidR="004C2185" w:rsidRPr="00A72015" w:rsidRDefault="004C2185" w:rsidP="002D5F93">
      <w:pPr>
        <w:spacing w:after="0" w:line="240" w:lineRule="auto"/>
        <w:ind w:firstLine="709"/>
        <w:rPr>
          <w:rFonts w:ascii="Times New Roman" w:hAnsi="Times New Roman" w:cs="Times New Roman"/>
          <w:bCs/>
          <w:sz w:val="24"/>
          <w:szCs w:val="24"/>
        </w:rPr>
      </w:pPr>
      <w:r w:rsidRPr="00A72015">
        <w:rPr>
          <w:rFonts w:ascii="Times New Roman" w:hAnsi="Times New Roman" w:cs="Times New Roman"/>
          <w:bCs/>
          <w:sz w:val="24"/>
          <w:szCs w:val="24"/>
        </w:rPr>
        <w:t>Программы платежных систем, реализуемые Национальной системой платежных карт (НСПК),</w:t>
      </w:r>
      <w:r w:rsidRPr="00A72015">
        <w:rPr>
          <w:rFonts w:ascii="Times New Roman" w:hAnsi="Times New Roman" w:cs="Times New Roman"/>
          <w:sz w:val="24"/>
          <w:szCs w:val="24"/>
        </w:rPr>
        <w:t xml:space="preserve"> </w:t>
      </w:r>
      <w:r w:rsidRPr="00A72015">
        <w:rPr>
          <w:rFonts w:ascii="Times New Roman" w:hAnsi="Times New Roman" w:cs="Times New Roman"/>
          <w:bCs/>
          <w:sz w:val="24"/>
          <w:szCs w:val="24"/>
        </w:rPr>
        <w:t>способствуют вовлечению аудитории российского спорта</w:t>
      </w:r>
      <w:r w:rsidRPr="00A72015">
        <w:rPr>
          <w:rFonts w:ascii="Times New Roman" w:hAnsi="Times New Roman" w:cs="Times New Roman"/>
          <w:sz w:val="24"/>
          <w:szCs w:val="24"/>
        </w:rPr>
        <w:t xml:space="preserve"> </w:t>
      </w:r>
      <w:r w:rsidRPr="00A72015">
        <w:rPr>
          <w:rFonts w:ascii="Times New Roman" w:hAnsi="Times New Roman" w:cs="Times New Roman"/>
          <w:bCs/>
          <w:sz w:val="24"/>
          <w:szCs w:val="24"/>
        </w:rPr>
        <w:t>в свою клиентскую базу и повышению общей эффективности спонсорских инвестиций посредством целенаправленных механизмов лояльности и просвещения. Ключевыми инструментами выступают:</w:t>
      </w:r>
    </w:p>
    <w:p w:rsidR="004C2185" w:rsidRPr="00A72015" w:rsidRDefault="00C652B2" w:rsidP="002D5F93">
      <w:pPr>
        <w:pStyle w:val="a5"/>
        <w:numPr>
          <w:ilvl w:val="0"/>
          <w:numId w:val="5"/>
        </w:numPr>
        <w:tabs>
          <w:tab w:val="left" w:pos="993"/>
        </w:tabs>
        <w:spacing w:after="0" w:line="240" w:lineRule="auto"/>
        <w:ind w:left="0" w:firstLine="709"/>
        <w:rPr>
          <w:rFonts w:ascii="Times New Roman" w:hAnsi="Times New Roman" w:cs="Times New Roman"/>
          <w:sz w:val="24"/>
          <w:szCs w:val="24"/>
        </w:rPr>
      </w:pPr>
      <w:r w:rsidRPr="00A72015">
        <w:rPr>
          <w:rFonts w:ascii="Times New Roman" w:hAnsi="Times New Roman" w:cs="Times New Roman"/>
          <w:sz w:val="24"/>
          <w:szCs w:val="24"/>
        </w:rPr>
        <w:t>р</w:t>
      </w:r>
      <w:r w:rsidR="004C2185" w:rsidRPr="00A72015">
        <w:rPr>
          <w:rFonts w:ascii="Times New Roman" w:hAnsi="Times New Roman" w:cs="Times New Roman"/>
          <w:sz w:val="24"/>
          <w:szCs w:val="24"/>
        </w:rPr>
        <w:t>егистрация в программе лояльности НСПК, интегрированная в спонсорские активации на стадионах и в цифровых каналах и, тем самым, обеспечивающая прямой онбординг болельщиков (конверсия до 15</w:t>
      </w:r>
      <w:r w:rsidR="002D5F93">
        <w:rPr>
          <w:rFonts w:ascii="Times New Roman" w:hAnsi="Times New Roman" w:cs="Times New Roman"/>
          <w:sz w:val="24"/>
          <w:szCs w:val="24"/>
        </w:rPr>
        <w:t>-</w:t>
      </w:r>
      <w:r w:rsidR="004C2185" w:rsidRPr="00A72015">
        <w:rPr>
          <w:rFonts w:ascii="Times New Roman" w:hAnsi="Times New Roman" w:cs="Times New Roman"/>
          <w:sz w:val="24"/>
          <w:szCs w:val="24"/>
        </w:rPr>
        <w:t>20% среди участников BTL-зон);</w:t>
      </w:r>
    </w:p>
    <w:p w:rsidR="004C2185" w:rsidRPr="00A72015" w:rsidRDefault="00C652B2" w:rsidP="002D5F93">
      <w:pPr>
        <w:pStyle w:val="a5"/>
        <w:numPr>
          <w:ilvl w:val="0"/>
          <w:numId w:val="5"/>
        </w:numPr>
        <w:tabs>
          <w:tab w:val="left" w:pos="993"/>
        </w:tabs>
        <w:spacing w:after="0" w:line="240" w:lineRule="auto"/>
        <w:ind w:left="0" w:firstLine="709"/>
        <w:rPr>
          <w:rFonts w:ascii="Times New Roman" w:hAnsi="Times New Roman" w:cs="Times New Roman"/>
          <w:sz w:val="24"/>
          <w:szCs w:val="24"/>
        </w:rPr>
      </w:pPr>
      <w:r w:rsidRPr="00A72015">
        <w:rPr>
          <w:rFonts w:ascii="Times New Roman" w:hAnsi="Times New Roman" w:cs="Times New Roman"/>
          <w:sz w:val="24"/>
          <w:szCs w:val="24"/>
        </w:rPr>
        <w:t>п</w:t>
      </w:r>
      <w:r w:rsidR="004C2185" w:rsidRPr="00A72015">
        <w:rPr>
          <w:rFonts w:ascii="Times New Roman" w:hAnsi="Times New Roman" w:cs="Times New Roman"/>
          <w:sz w:val="24"/>
          <w:szCs w:val="24"/>
        </w:rPr>
        <w:t>овышение знания о продуктах НСПК, в частности о функционале Системы быстрых платежей (СБП), через офлайн-активации (промо-зоны, QR-коды на билетах) и онлайн-кампании (SMM, push-уведомления в приложении «МИР»), что увеличивает осведомленность на 25</w:t>
      </w:r>
      <w:r w:rsidR="002D5F93">
        <w:rPr>
          <w:rFonts w:ascii="Times New Roman" w:hAnsi="Times New Roman" w:cs="Times New Roman"/>
          <w:sz w:val="24"/>
          <w:szCs w:val="24"/>
        </w:rPr>
        <w:t>-</w:t>
      </w:r>
      <w:r w:rsidR="004C2185" w:rsidRPr="00A72015">
        <w:rPr>
          <w:rFonts w:ascii="Times New Roman" w:hAnsi="Times New Roman" w:cs="Times New Roman"/>
          <w:sz w:val="24"/>
          <w:szCs w:val="24"/>
        </w:rPr>
        <w:t>30% в целевой аудитории.</w:t>
      </w:r>
    </w:p>
    <w:p w:rsidR="004C2185" w:rsidRPr="00A72015" w:rsidRDefault="004C2185" w:rsidP="002D5F93">
      <w:pPr>
        <w:spacing w:after="0" w:line="240" w:lineRule="auto"/>
        <w:ind w:firstLine="709"/>
        <w:rPr>
          <w:rFonts w:ascii="Times New Roman" w:hAnsi="Times New Roman" w:cs="Times New Roman"/>
          <w:sz w:val="24"/>
          <w:szCs w:val="24"/>
        </w:rPr>
      </w:pPr>
      <w:r w:rsidRPr="00A72015">
        <w:rPr>
          <w:rFonts w:ascii="Times New Roman" w:hAnsi="Times New Roman" w:cs="Times New Roman"/>
          <w:sz w:val="24"/>
          <w:szCs w:val="24"/>
        </w:rPr>
        <w:t>Данные меры формируют замкнутый цикл вовлечения: от эмоционального контакта на спортивных событиях к функциональному использованию продуктов, повышая метрики удержания и транзакционной активности в премиум-сегменте болельщиков.</w:t>
      </w:r>
    </w:p>
    <w:p w:rsidR="00DD6234" w:rsidRPr="00A72015" w:rsidRDefault="00DD6234" w:rsidP="002D5F93">
      <w:pPr>
        <w:spacing w:after="0" w:line="240" w:lineRule="auto"/>
        <w:rPr>
          <w:rFonts w:ascii="Times New Roman" w:hAnsi="Times New Roman" w:cs="Times New Roman"/>
          <w:sz w:val="24"/>
          <w:szCs w:val="24"/>
        </w:rPr>
      </w:pPr>
    </w:p>
    <w:p w:rsidR="006962EC" w:rsidRPr="002D5F93" w:rsidRDefault="006962EC" w:rsidP="002D5F93">
      <w:pPr>
        <w:spacing w:after="0" w:line="240" w:lineRule="auto"/>
        <w:ind w:firstLine="708"/>
        <w:rPr>
          <w:rFonts w:ascii="Times New Roman" w:hAnsi="Times New Roman" w:cs="Times New Roman"/>
          <w:bCs/>
          <w:i/>
          <w:sz w:val="24"/>
          <w:szCs w:val="24"/>
        </w:rPr>
      </w:pPr>
      <w:r w:rsidRPr="002D5F93">
        <w:rPr>
          <w:rFonts w:ascii="Times New Roman" w:hAnsi="Times New Roman" w:cs="Times New Roman"/>
          <w:bCs/>
          <w:i/>
          <w:sz w:val="24"/>
          <w:szCs w:val="24"/>
        </w:rPr>
        <w:t>Предложения по стратегическому расширению портфеля</w:t>
      </w:r>
    </w:p>
    <w:p w:rsidR="00040D13" w:rsidRPr="00A72015" w:rsidRDefault="00040D13" w:rsidP="00A72015">
      <w:pPr>
        <w:spacing w:after="0" w:line="240" w:lineRule="auto"/>
        <w:ind w:firstLine="709"/>
        <w:rPr>
          <w:rFonts w:ascii="Times New Roman" w:hAnsi="Times New Roman" w:cs="Times New Roman"/>
          <w:sz w:val="24"/>
          <w:szCs w:val="24"/>
        </w:rPr>
      </w:pPr>
      <w:r w:rsidRPr="00A72015">
        <w:rPr>
          <w:rFonts w:ascii="Times New Roman" w:hAnsi="Times New Roman" w:cs="Times New Roman"/>
          <w:sz w:val="24"/>
          <w:szCs w:val="24"/>
        </w:rPr>
        <w:t xml:space="preserve">Предлагается расширить возможности по продвижению платежной системы «МИР» за пределы российского рынка и рассмотреть спонсорство спортивных событий в таких странах как Армения, Абхазия, Беларусь, Казахстан, Киргизия, Южная Осетия, Вьетнам, Таджикистан, </w:t>
      </w:r>
      <w:r w:rsidR="00D413EC">
        <w:rPr>
          <w:rFonts w:ascii="Times New Roman" w:hAnsi="Times New Roman" w:cs="Times New Roman"/>
          <w:sz w:val="24"/>
          <w:szCs w:val="24"/>
        </w:rPr>
        <w:t>ОАЭ</w:t>
      </w:r>
      <w:r w:rsidRPr="00A72015">
        <w:rPr>
          <w:rFonts w:ascii="Times New Roman" w:hAnsi="Times New Roman" w:cs="Times New Roman"/>
          <w:sz w:val="24"/>
          <w:szCs w:val="24"/>
        </w:rPr>
        <w:t xml:space="preserve"> и Турции. Как пример, активировать имеющиеся возможности сотрудничества с КХЛ через иностранные клубы лиги </w:t>
      </w:r>
      <w:r w:rsidR="00D413EC">
        <w:rPr>
          <w:rFonts w:ascii="Times New Roman" w:hAnsi="Times New Roman" w:cs="Times New Roman"/>
          <w:sz w:val="24"/>
          <w:szCs w:val="24"/>
        </w:rPr>
        <w:t>–</w:t>
      </w:r>
      <w:r w:rsidRPr="00A72015">
        <w:rPr>
          <w:rFonts w:ascii="Times New Roman" w:hAnsi="Times New Roman" w:cs="Times New Roman"/>
          <w:sz w:val="24"/>
          <w:szCs w:val="24"/>
        </w:rPr>
        <w:t xml:space="preserve"> «Динамо» (Минск, Беларусь) и «Барыс» (Астана, Казахстан).</w:t>
      </w:r>
    </w:p>
    <w:p w:rsidR="006962EC" w:rsidRPr="00A72015" w:rsidRDefault="006962EC" w:rsidP="00A72015">
      <w:pPr>
        <w:spacing w:after="0" w:line="240" w:lineRule="auto"/>
        <w:ind w:firstLine="709"/>
        <w:rPr>
          <w:rFonts w:ascii="Times New Roman" w:hAnsi="Times New Roman" w:cs="Times New Roman"/>
          <w:sz w:val="24"/>
          <w:szCs w:val="24"/>
        </w:rPr>
      </w:pPr>
      <w:r w:rsidRPr="00A72015">
        <w:rPr>
          <w:rFonts w:ascii="Times New Roman" w:hAnsi="Times New Roman" w:cs="Times New Roman"/>
          <w:sz w:val="24"/>
          <w:szCs w:val="24"/>
        </w:rPr>
        <w:t xml:space="preserve">Для бренда «МИР», ориентированного на массовую и медийную аудиторию, целесообразно титульное партнерство в растущих лигах и федерациях, таких как </w:t>
      </w:r>
      <w:r w:rsidR="00D413EC">
        <w:rPr>
          <w:rFonts w:ascii="Times New Roman" w:hAnsi="Times New Roman" w:cs="Times New Roman"/>
          <w:bCs/>
          <w:sz w:val="24"/>
          <w:szCs w:val="24"/>
          <w:shd w:val="clear" w:color="auto" w:fill="FFFFFF"/>
        </w:rPr>
        <w:t xml:space="preserve">Федерация </w:t>
      </w:r>
      <w:r w:rsidRPr="00A72015">
        <w:rPr>
          <w:rFonts w:ascii="Times New Roman" w:hAnsi="Times New Roman" w:cs="Times New Roman"/>
          <w:bCs/>
          <w:sz w:val="24"/>
          <w:szCs w:val="24"/>
          <w:shd w:val="clear" w:color="auto" w:fill="FFFFFF"/>
        </w:rPr>
        <w:t>падела</w:t>
      </w:r>
      <w:r w:rsidR="00D413EC">
        <w:rPr>
          <w:rFonts w:ascii="Times New Roman" w:hAnsi="Times New Roman" w:cs="Times New Roman"/>
          <w:sz w:val="24"/>
          <w:szCs w:val="24"/>
          <w:shd w:val="clear" w:color="auto" w:fill="FFFFFF"/>
        </w:rPr>
        <w:t xml:space="preserve"> </w:t>
      </w:r>
      <w:r w:rsidRPr="00A72015">
        <w:rPr>
          <w:rFonts w:ascii="Times New Roman" w:hAnsi="Times New Roman" w:cs="Times New Roman"/>
          <w:bCs/>
          <w:sz w:val="24"/>
          <w:szCs w:val="24"/>
          <w:shd w:val="clear" w:color="auto" w:fill="FFFFFF"/>
        </w:rPr>
        <w:t>России</w:t>
      </w:r>
      <w:r w:rsidRPr="00A72015">
        <w:rPr>
          <w:rFonts w:ascii="Times New Roman" w:hAnsi="Times New Roman" w:cs="Times New Roman"/>
          <w:sz w:val="24"/>
          <w:szCs w:val="24"/>
        </w:rPr>
        <w:t xml:space="preserve"> (аудитория свыше 100 тыс., рост до 500 тыс. к 2030 году), с брендингом на более 560 кортах, кэшбэком 15% на билеты и эксклюзивными зонами. Это может обеспечить охват молодой группы целевой ауди</w:t>
      </w:r>
      <w:r w:rsidR="00441880">
        <w:rPr>
          <w:rFonts w:ascii="Times New Roman" w:hAnsi="Times New Roman" w:cs="Times New Roman"/>
          <w:sz w:val="24"/>
          <w:szCs w:val="24"/>
        </w:rPr>
        <w:t xml:space="preserve">тории – от 20 до </w:t>
      </w:r>
      <w:r w:rsidRPr="00A72015">
        <w:rPr>
          <w:rFonts w:ascii="Times New Roman" w:hAnsi="Times New Roman" w:cs="Times New Roman"/>
          <w:sz w:val="24"/>
          <w:szCs w:val="24"/>
        </w:rPr>
        <w:t>45</w:t>
      </w:r>
      <w:r w:rsidR="00441880">
        <w:rPr>
          <w:rFonts w:ascii="Times New Roman" w:hAnsi="Times New Roman" w:cs="Times New Roman"/>
          <w:sz w:val="24"/>
          <w:szCs w:val="24"/>
        </w:rPr>
        <w:t xml:space="preserve"> </w:t>
      </w:r>
      <w:r w:rsidRPr="00A72015">
        <w:rPr>
          <w:rFonts w:ascii="Times New Roman" w:hAnsi="Times New Roman" w:cs="Times New Roman"/>
          <w:sz w:val="24"/>
          <w:szCs w:val="24"/>
        </w:rPr>
        <w:t>лет. Также в дополнение</w:t>
      </w:r>
      <w:r w:rsidR="00441880">
        <w:rPr>
          <w:rFonts w:ascii="Times New Roman" w:hAnsi="Times New Roman" w:cs="Times New Roman"/>
          <w:sz w:val="24"/>
          <w:szCs w:val="24"/>
        </w:rPr>
        <w:t xml:space="preserve"> –</w:t>
      </w:r>
      <w:r w:rsidRPr="00A72015">
        <w:rPr>
          <w:rFonts w:ascii="Times New Roman" w:hAnsi="Times New Roman" w:cs="Times New Roman"/>
          <w:sz w:val="24"/>
          <w:szCs w:val="24"/>
        </w:rPr>
        <w:t xml:space="preserve"> поддержка сборной команды России по падел-теннису через affinity-карты и бесконтактн</w:t>
      </w:r>
      <w:r w:rsidR="00040D13" w:rsidRPr="00A72015">
        <w:rPr>
          <w:rFonts w:ascii="Times New Roman" w:hAnsi="Times New Roman" w:cs="Times New Roman"/>
          <w:sz w:val="24"/>
          <w:szCs w:val="24"/>
        </w:rPr>
        <w:t>ые платежи</w:t>
      </w:r>
      <w:r w:rsidRPr="00A72015">
        <w:rPr>
          <w:rFonts w:ascii="Times New Roman" w:hAnsi="Times New Roman" w:cs="Times New Roman"/>
          <w:sz w:val="24"/>
          <w:szCs w:val="24"/>
        </w:rPr>
        <w:t>.</w:t>
      </w:r>
    </w:p>
    <w:p w:rsidR="006962EC" w:rsidRPr="00A72015" w:rsidRDefault="00040D13" w:rsidP="00A72015">
      <w:pPr>
        <w:spacing w:after="0" w:line="240" w:lineRule="auto"/>
        <w:ind w:firstLine="709"/>
        <w:rPr>
          <w:rFonts w:ascii="Times New Roman" w:hAnsi="Times New Roman" w:cs="Times New Roman"/>
          <w:sz w:val="24"/>
          <w:szCs w:val="24"/>
        </w:rPr>
      </w:pPr>
      <w:r w:rsidRPr="00A72015">
        <w:rPr>
          <w:rFonts w:ascii="Times New Roman" w:hAnsi="Times New Roman" w:cs="Times New Roman"/>
          <w:sz w:val="24"/>
          <w:szCs w:val="24"/>
        </w:rPr>
        <w:t>Рекомендуется</w:t>
      </w:r>
      <w:r w:rsidR="006962EC" w:rsidRPr="00A72015">
        <w:rPr>
          <w:rFonts w:ascii="Times New Roman" w:hAnsi="Times New Roman" w:cs="Times New Roman"/>
          <w:sz w:val="24"/>
          <w:szCs w:val="24"/>
        </w:rPr>
        <w:t xml:space="preserve"> </w:t>
      </w:r>
      <w:r w:rsidRPr="00A72015">
        <w:rPr>
          <w:rFonts w:ascii="Times New Roman" w:hAnsi="Times New Roman" w:cs="Times New Roman"/>
          <w:sz w:val="24"/>
          <w:szCs w:val="24"/>
        </w:rPr>
        <w:t>рассмотреть варианты сотрудничества с сегментом</w:t>
      </w:r>
      <w:r w:rsidR="006962EC" w:rsidRPr="00A72015">
        <w:rPr>
          <w:rFonts w:ascii="Times New Roman" w:hAnsi="Times New Roman" w:cs="Times New Roman"/>
          <w:sz w:val="24"/>
          <w:szCs w:val="24"/>
        </w:rPr>
        <w:t xml:space="preserve"> цифровой молодежи (18</w:t>
      </w:r>
      <w:r w:rsidR="00441880">
        <w:rPr>
          <w:rFonts w:ascii="Times New Roman" w:hAnsi="Times New Roman" w:cs="Times New Roman"/>
          <w:sz w:val="24"/>
          <w:szCs w:val="24"/>
        </w:rPr>
        <w:t>-</w:t>
      </w:r>
      <w:r w:rsidR="006962EC" w:rsidRPr="00A72015">
        <w:rPr>
          <w:rFonts w:ascii="Times New Roman" w:hAnsi="Times New Roman" w:cs="Times New Roman"/>
          <w:sz w:val="24"/>
          <w:szCs w:val="24"/>
        </w:rPr>
        <w:t xml:space="preserve">34 года), предлагается интеграция в направление киберспорта (Российскую киберспортивную лигу </w:t>
      </w:r>
      <w:r w:rsidR="00441880">
        <w:rPr>
          <w:rFonts w:ascii="Times New Roman" w:hAnsi="Times New Roman" w:cs="Times New Roman"/>
          <w:sz w:val="24"/>
          <w:szCs w:val="24"/>
        </w:rPr>
        <w:t>–</w:t>
      </w:r>
      <w:r w:rsidR="006962EC" w:rsidRPr="00A72015">
        <w:rPr>
          <w:rFonts w:ascii="Times New Roman" w:hAnsi="Times New Roman" w:cs="Times New Roman"/>
          <w:sz w:val="24"/>
          <w:szCs w:val="24"/>
        </w:rPr>
        <w:t xml:space="preserve"> </w:t>
      </w:r>
      <w:r w:rsidR="006962EC" w:rsidRPr="00A72015">
        <w:rPr>
          <w:rFonts w:ascii="Times New Roman" w:hAnsi="Times New Roman" w:cs="Times New Roman"/>
          <w:color w:val="000000"/>
          <w:sz w:val="24"/>
          <w:szCs w:val="24"/>
        </w:rPr>
        <w:t>национальный турнир по Counter-Strike</w:t>
      </w:r>
      <w:r w:rsidR="006962EC" w:rsidRPr="00A72015">
        <w:rPr>
          <w:rFonts w:ascii="Times New Roman" w:hAnsi="Times New Roman" w:cs="Times New Roman"/>
          <w:sz w:val="24"/>
          <w:szCs w:val="24"/>
        </w:rPr>
        <w:t xml:space="preserve">) </w:t>
      </w:r>
      <w:r w:rsidRPr="00A72015">
        <w:rPr>
          <w:rFonts w:ascii="Times New Roman" w:hAnsi="Times New Roman" w:cs="Times New Roman"/>
          <w:sz w:val="24"/>
          <w:szCs w:val="24"/>
        </w:rPr>
        <w:t xml:space="preserve">и другими турнирами из киберспорта, </w:t>
      </w:r>
      <w:r w:rsidR="006962EC" w:rsidRPr="00A72015">
        <w:rPr>
          <w:rFonts w:ascii="Times New Roman" w:hAnsi="Times New Roman" w:cs="Times New Roman"/>
          <w:sz w:val="24"/>
          <w:szCs w:val="24"/>
        </w:rPr>
        <w:t>с QR-онбордингом и push-уведомлениями о 10</w:t>
      </w:r>
      <w:r w:rsidR="00441880">
        <w:rPr>
          <w:rFonts w:ascii="Times New Roman" w:hAnsi="Times New Roman" w:cs="Times New Roman"/>
          <w:sz w:val="24"/>
          <w:szCs w:val="24"/>
        </w:rPr>
        <w:t>-</w:t>
      </w:r>
      <w:r w:rsidR="006962EC" w:rsidRPr="00A72015">
        <w:rPr>
          <w:rFonts w:ascii="Times New Roman" w:hAnsi="Times New Roman" w:cs="Times New Roman"/>
          <w:sz w:val="24"/>
          <w:szCs w:val="24"/>
        </w:rPr>
        <w:t xml:space="preserve">15% дисконтах. </w:t>
      </w:r>
    </w:p>
    <w:p w:rsidR="006962EC" w:rsidRPr="00A72015" w:rsidRDefault="006962EC" w:rsidP="00A72015">
      <w:pPr>
        <w:spacing w:after="0" w:line="240" w:lineRule="auto"/>
        <w:rPr>
          <w:rFonts w:ascii="Times New Roman" w:hAnsi="Times New Roman" w:cs="Times New Roman"/>
          <w:sz w:val="24"/>
          <w:szCs w:val="24"/>
        </w:rPr>
      </w:pPr>
    </w:p>
    <w:p w:rsidR="006962EC" w:rsidRPr="00A72015" w:rsidRDefault="006962EC" w:rsidP="00A72015">
      <w:pPr>
        <w:spacing w:after="0" w:line="240" w:lineRule="auto"/>
        <w:ind w:firstLine="709"/>
        <w:rPr>
          <w:rFonts w:ascii="Times New Roman" w:hAnsi="Times New Roman" w:cs="Times New Roman"/>
          <w:b/>
          <w:bCs/>
          <w:sz w:val="24"/>
          <w:szCs w:val="24"/>
        </w:rPr>
      </w:pPr>
      <w:r w:rsidRPr="00A72015">
        <w:rPr>
          <w:rFonts w:ascii="Times New Roman" w:hAnsi="Times New Roman" w:cs="Times New Roman"/>
          <w:b/>
          <w:bCs/>
          <w:sz w:val="24"/>
          <w:szCs w:val="24"/>
        </w:rPr>
        <w:t>Заключение (Conclusion)</w:t>
      </w:r>
    </w:p>
    <w:p w:rsidR="006962EC" w:rsidRPr="00A72015" w:rsidRDefault="006962EC" w:rsidP="00A72015">
      <w:pPr>
        <w:spacing w:after="0" w:line="240" w:lineRule="auto"/>
        <w:ind w:firstLine="709"/>
        <w:rPr>
          <w:rFonts w:ascii="Times New Roman" w:hAnsi="Times New Roman" w:cs="Times New Roman"/>
          <w:bCs/>
          <w:sz w:val="24"/>
          <w:szCs w:val="24"/>
        </w:rPr>
      </w:pPr>
      <w:r w:rsidRPr="00A72015">
        <w:rPr>
          <w:rFonts w:ascii="Times New Roman" w:hAnsi="Times New Roman" w:cs="Times New Roman"/>
          <w:sz w:val="24"/>
          <w:szCs w:val="24"/>
        </w:rPr>
        <w:t xml:space="preserve">Проведенный анализ подтверждает, что международные платежные системы (Visa, Mastercard, Amex, UnionPay) используют спортивное спонсорство как глобальную платформу для укрепления бренда, демонстрации инноваций и роста транзакций, с фокусом на эксклюзивные права, премиум-аудиторию и эмоциональные активации. В России до 2022 г. они доминировали в ключевых проектах (Олимпийские игры 2014, Чемпионат Мира по футболу 2018, Континентальной Хоккейной Лиге), но уход открыл нишу для Национальной </w:t>
      </w:r>
      <w:r w:rsidRPr="00A72015">
        <w:rPr>
          <w:rFonts w:ascii="Times New Roman" w:hAnsi="Times New Roman" w:cs="Times New Roman"/>
          <w:sz w:val="24"/>
          <w:szCs w:val="24"/>
        </w:rPr>
        <w:lastRenderedPageBreak/>
        <w:t>системы пла</w:t>
      </w:r>
      <w:r w:rsidR="00040D13" w:rsidRPr="00A72015">
        <w:rPr>
          <w:rFonts w:ascii="Times New Roman" w:hAnsi="Times New Roman" w:cs="Times New Roman"/>
          <w:sz w:val="24"/>
          <w:szCs w:val="24"/>
        </w:rPr>
        <w:t>тежных карт</w:t>
      </w:r>
      <w:r w:rsidRPr="00A72015">
        <w:rPr>
          <w:rFonts w:ascii="Times New Roman" w:hAnsi="Times New Roman" w:cs="Times New Roman"/>
          <w:sz w:val="24"/>
          <w:szCs w:val="24"/>
        </w:rPr>
        <w:t>, которая за четыре года реализовала свыше 100 интеграций брендов «МИР», охватив 66,9 млн зрителей через Российскую Премьер Лигу, Континентальную Хоккейную Лигу и Федерацию фигурного катания на коньках России. НСПК адаптировала стратегии под локальный рынок, приорит</w:t>
      </w:r>
      <w:r w:rsidR="00FC067E">
        <w:rPr>
          <w:rFonts w:ascii="Times New Roman" w:hAnsi="Times New Roman" w:cs="Times New Roman"/>
          <w:sz w:val="24"/>
          <w:szCs w:val="24"/>
        </w:rPr>
        <w:t>и</w:t>
      </w:r>
      <w:r w:rsidRPr="00A72015">
        <w:rPr>
          <w:rFonts w:ascii="Times New Roman" w:hAnsi="Times New Roman" w:cs="Times New Roman"/>
          <w:sz w:val="24"/>
          <w:szCs w:val="24"/>
        </w:rPr>
        <w:t xml:space="preserve">зируя медийность, равный доступ и лояльность, с конверсией до 20% в онбординг и ростом осведомлённости на 25–30%. </w:t>
      </w:r>
      <w:r w:rsidRPr="00A72015">
        <w:rPr>
          <w:rFonts w:ascii="Times New Roman" w:hAnsi="Times New Roman" w:cs="Times New Roman"/>
          <w:bCs/>
          <w:sz w:val="24"/>
          <w:szCs w:val="24"/>
        </w:rPr>
        <w:t xml:space="preserve">Дальнейшее продвижение через спортивные проекты позволит усилить транзакционную активность, лояльность и патриотический имидж в условиях пост-санкционного рынка. </w:t>
      </w:r>
    </w:p>
    <w:p w:rsidR="00572421" w:rsidRPr="00A72015" w:rsidRDefault="00572421" w:rsidP="00A72015">
      <w:pPr>
        <w:spacing w:after="0" w:line="240" w:lineRule="auto"/>
        <w:rPr>
          <w:rFonts w:ascii="Times New Roman" w:hAnsi="Times New Roman" w:cs="Times New Roman"/>
          <w:b/>
          <w:bCs/>
          <w:sz w:val="24"/>
          <w:szCs w:val="24"/>
          <w:highlight w:val="green"/>
        </w:rPr>
      </w:pPr>
    </w:p>
    <w:p w:rsidR="001D7419" w:rsidRPr="00A72015" w:rsidRDefault="002F63AD" w:rsidP="00E33135">
      <w:pPr>
        <w:spacing w:after="0" w:line="240" w:lineRule="auto"/>
        <w:ind w:firstLine="708"/>
        <w:rPr>
          <w:rFonts w:ascii="Times New Roman" w:hAnsi="Times New Roman" w:cs="Times New Roman"/>
          <w:b/>
          <w:sz w:val="24"/>
          <w:szCs w:val="24"/>
        </w:rPr>
      </w:pPr>
      <w:r w:rsidRPr="00A72015">
        <w:rPr>
          <w:rFonts w:ascii="Times New Roman" w:hAnsi="Times New Roman" w:cs="Times New Roman"/>
          <w:b/>
          <w:sz w:val="24"/>
          <w:szCs w:val="24"/>
        </w:rPr>
        <w:t>ИСТОЧНИКИ (References)</w:t>
      </w:r>
      <w:r w:rsidR="001D7419" w:rsidRPr="00A72015">
        <w:rPr>
          <w:rFonts w:ascii="Times New Roman" w:hAnsi="Times New Roman" w:cs="Times New Roman"/>
          <w:b/>
          <w:sz w:val="24"/>
          <w:szCs w:val="24"/>
        </w:rPr>
        <w:t>:</w:t>
      </w:r>
    </w:p>
    <w:p w:rsidR="00040D13" w:rsidRPr="00A72015" w:rsidRDefault="00040D13" w:rsidP="00E33135">
      <w:pPr>
        <w:spacing w:after="0" w:line="240" w:lineRule="auto"/>
        <w:ind w:firstLine="708"/>
        <w:rPr>
          <w:rFonts w:ascii="Times New Roman" w:hAnsi="Times New Roman" w:cs="Times New Roman"/>
          <w:b/>
          <w:sz w:val="24"/>
          <w:szCs w:val="24"/>
        </w:rPr>
      </w:pPr>
    </w:p>
    <w:p w:rsidR="00E33135" w:rsidRPr="00E33135" w:rsidRDefault="00E33135" w:rsidP="00E33135">
      <w:pPr>
        <w:numPr>
          <w:ilvl w:val="0"/>
          <w:numId w:val="2"/>
        </w:numPr>
        <w:tabs>
          <w:tab w:val="left" w:pos="426"/>
        </w:tabs>
        <w:spacing w:after="0" w:line="240" w:lineRule="auto"/>
        <w:ind w:left="0" w:firstLine="708"/>
        <w:contextualSpacing/>
        <w:rPr>
          <w:rFonts w:ascii="Times New Roman" w:hAnsi="Times New Roman" w:cs="Times New Roman"/>
          <w:sz w:val="24"/>
          <w:szCs w:val="24"/>
        </w:rPr>
      </w:pPr>
      <w:r w:rsidRPr="00E33135">
        <w:rPr>
          <w:rFonts w:ascii="Times New Roman" w:hAnsi="Times New Roman" w:cs="Times New Roman"/>
          <w:sz w:val="24"/>
          <w:szCs w:val="24"/>
        </w:rPr>
        <w:t>Минаков, А. В. Финансовые и политические аспекты развития национальной платежной системы карт («Мир») / А. В. Минаков // Вестник Алтайской академии экономики и права. – 2024. – № 4-1. – С. 119-125. – DOI 10.17513/vaael.3339</w:t>
      </w:r>
    </w:p>
    <w:p w:rsidR="00E33135" w:rsidRPr="00E33135" w:rsidRDefault="00E33135" w:rsidP="00E33135">
      <w:pPr>
        <w:numPr>
          <w:ilvl w:val="0"/>
          <w:numId w:val="2"/>
        </w:numPr>
        <w:tabs>
          <w:tab w:val="left" w:pos="426"/>
        </w:tabs>
        <w:spacing w:after="0" w:line="240" w:lineRule="auto"/>
        <w:ind w:left="0" w:firstLine="708"/>
        <w:contextualSpacing/>
        <w:rPr>
          <w:rFonts w:ascii="Times New Roman" w:hAnsi="Times New Roman" w:cs="Times New Roman"/>
          <w:sz w:val="24"/>
          <w:szCs w:val="24"/>
        </w:rPr>
      </w:pPr>
      <w:r w:rsidRPr="00E33135">
        <w:rPr>
          <w:rFonts w:ascii="Times New Roman" w:hAnsi="Times New Roman" w:cs="Times New Roman"/>
          <w:sz w:val="24"/>
          <w:szCs w:val="24"/>
        </w:rPr>
        <w:t>Петренко, Н. М. Национальная платежная система «Мир»: достоинства и недостатки / Н. М. Петренко, С. Г. Карамышева // Epomen. Global. – 2024. – № 45. – С. 153-159</w:t>
      </w:r>
    </w:p>
    <w:p w:rsidR="00E33135" w:rsidRPr="00E33135" w:rsidRDefault="00E33135" w:rsidP="00E33135">
      <w:pPr>
        <w:numPr>
          <w:ilvl w:val="0"/>
          <w:numId w:val="2"/>
        </w:numPr>
        <w:tabs>
          <w:tab w:val="left" w:pos="426"/>
        </w:tabs>
        <w:spacing w:after="0" w:line="240" w:lineRule="auto"/>
        <w:ind w:left="0" w:firstLine="708"/>
        <w:contextualSpacing/>
        <w:rPr>
          <w:rFonts w:ascii="Times New Roman" w:hAnsi="Times New Roman" w:cs="Times New Roman"/>
          <w:sz w:val="24"/>
          <w:szCs w:val="24"/>
        </w:rPr>
      </w:pPr>
      <w:r w:rsidRPr="00E33135">
        <w:rPr>
          <w:rFonts w:ascii="Times New Roman" w:hAnsi="Times New Roman" w:cs="Times New Roman"/>
          <w:sz w:val="24"/>
          <w:szCs w:val="24"/>
        </w:rPr>
        <w:t>Поршнева, И. И. Направления развития платежной системы Российской Федерации в современных условиях / И. И. Поршнева // Вестник Алтайской академии экономики и права. – 2025. – № 3-1. – С. 130-135. – DOI 10.17513/vaael.4037</w:t>
      </w:r>
    </w:p>
    <w:p w:rsidR="00E33135" w:rsidRPr="00E33135" w:rsidRDefault="00E33135" w:rsidP="00E33135">
      <w:pPr>
        <w:numPr>
          <w:ilvl w:val="0"/>
          <w:numId w:val="2"/>
        </w:numPr>
        <w:tabs>
          <w:tab w:val="left" w:pos="426"/>
        </w:tabs>
        <w:spacing w:after="0" w:line="240" w:lineRule="auto"/>
        <w:ind w:left="0" w:firstLine="708"/>
        <w:contextualSpacing/>
        <w:rPr>
          <w:rFonts w:ascii="Times New Roman" w:hAnsi="Times New Roman" w:cs="Times New Roman"/>
          <w:sz w:val="24"/>
          <w:szCs w:val="24"/>
        </w:rPr>
      </w:pPr>
      <w:r w:rsidRPr="00E33135">
        <w:rPr>
          <w:rFonts w:ascii="Times New Roman" w:hAnsi="Times New Roman" w:cs="Times New Roman"/>
          <w:sz w:val="24"/>
          <w:szCs w:val="24"/>
        </w:rPr>
        <w:t>Селиверстова, М. А. Интеграция бренда национальной системы платежных карт – Системы быстрых платежей в спортивные проекты, на примере активации в рамках спортивного фестиваля IRONSTAR / М. А. Селиверстова // Инновационные аспекты менеджмента и экономики в сфере физической культуры и спорта в России и за рубежом: Материалы IV Международной научно-практической конференции, Москва, 14 ноября 2025 года. – Москва: Российский университет спорта "ГЦОЛИФК", 2025. – С. 363-366.</w:t>
      </w:r>
    </w:p>
    <w:p w:rsidR="00E33135" w:rsidRPr="00E33135" w:rsidRDefault="00E33135" w:rsidP="00E33135">
      <w:pPr>
        <w:numPr>
          <w:ilvl w:val="0"/>
          <w:numId w:val="2"/>
        </w:numPr>
        <w:tabs>
          <w:tab w:val="left" w:pos="426"/>
        </w:tabs>
        <w:spacing w:after="0" w:line="240" w:lineRule="auto"/>
        <w:ind w:left="0" w:firstLine="708"/>
        <w:contextualSpacing/>
        <w:rPr>
          <w:rFonts w:ascii="Times New Roman" w:hAnsi="Times New Roman" w:cs="Times New Roman"/>
          <w:sz w:val="24"/>
          <w:szCs w:val="24"/>
        </w:rPr>
      </w:pPr>
      <w:r w:rsidRPr="00E33135">
        <w:rPr>
          <w:rFonts w:ascii="Times New Roman" w:hAnsi="Times New Roman" w:cs="Times New Roman"/>
          <w:sz w:val="24"/>
          <w:szCs w:val="24"/>
        </w:rPr>
        <w:t>Тухугов, Я. Ш. Эффективная национальная платежная система в условиях развития цифровой экономики / Я. Ш. Тухугов, Р. В. Баташев // Экономика и бизнес: теория и практика. – 2024. – № 12-3(118). – С. 114-117. – DOI 10.24412/2411-0450-2024-12-3-114-117</w:t>
      </w:r>
    </w:p>
    <w:p w:rsidR="00E33135" w:rsidRPr="00E33135" w:rsidRDefault="00E33135" w:rsidP="00E33135">
      <w:pPr>
        <w:numPr>
          <w:ilvl w:val="0"/>
          <w:numId w:val="2"/>
        </w:numPr>
        <w:tabs>
          <w:tab w:val="left" w:pos="426"/>
        </w:tabs>
        <w:spacing w:after="0" w:line="240" w:lineRule="auto"/>
        <w:ind w:left="0" w:firstLine="708"/>
        <w:contextualSpacing/>
        <w:rPr>
          <w:rFonts w:ascii="Times New Roman" w:hAnsi="Times New Roman" w:cs="Times New Roman"/>
          <w:sz w:val="24"/>
          <w:szCs w:val="24"/>
        </w:rPr>
      </w:pPr>
      <w:r w:rsidRPr="00E33135">
        <w:rPr>
          <w:rFonts w:ascii="Times New Roman" w:hAnsi="Times New Roman" w:cs="Times New Roman"/>
          <w:sz w:val="24"/>
          <w:szCs w:val="24"/>
        </w:rPr>
        <w:t xml:space="preserve">Гореликов, В. А. Спонсорство как возможность конкурировать в спорте / В. А. Гореликов // Современная конкуренция. – 2019. – Т. 13, № 4(76). – С. 46-57. – DOI 10.24411/1993-7598-2019-10403. </w:t>
      </w:r>
    </w:p>
    <w:p w:rsidR="00E33135" w:rsidRPr="00E33135" w:rsidRDefault="00E33135" w:rsidP="00E33135">
      <w:pPr>
        <w:numPr>
          <w:ilvl w:val="0"/>
          <w:numId w:val="2"/>
        </w:numPr>
        <w:tabs>
          <w:tab w:val="left" w:pos="426"/>
        </w:tabs>
        <w:spacing w:after="0" w:line="240" w:lineRule="auto"/>
        <w:ind w:left="0" w:firstLine="708"/>
        <w:contextualSpacing/>
        <w:rPr>
          <w:rFonts w:ascii="Times New Roman" w:hAnsi="Times New Roman" w:cs="Times New Roman"/>
          <w:sz w:val="24"/>
          <w:szCs w:val="24"/>
        </w:rPr>
      </w:pPr>
      <w:r w:rsidRPr="00E33135">
        <w:rPr>
          <w:rFonts w:ascii="Times New Roman" w:hAnsi="Times New Roman" w:cs="Times New Roman"/>
          <w:sz w:val="24"/>
          <w:szCs w:val="24"/>
        </w:rPr>
        <w:t>Гореликов, В. А. Проблемы российского рынка спортивных правообладателей и приобретателей прав в спортивном спонсорстве / В. А. Гореликов, П. А. Барташ // Практический маркетинг. – 2025. – № 2(332). – С. 11-15. – DOI 10.24412/2071-37</w:t>
      </w:r>
      <w:r w:rsidR="00BA0C9B">
        <w:rPr>
          <w:rFonts w:ascii="Times New Roman" w:hAnsi="Times New Roman" w:cs="Times New Roman"/>
          <w:sz w:val="24"/>
          <w:szCs w:val="24"/>
        </w:rPr>
        <w:t xml:space="preserve">62-2025-2332-11-15. </w:t>
      </w:r>
    </w:p>
    <w:p w:rsidR="00E33135" w:rsidRPr="00E33135" w:rsidRDefault="00E33135" w:rsidP="00E33135">
      <w:pPr>
        <w:numPr>
          <w:ilvl w:val="0"/>
          <w:numId w:val="2"/>
        </w:numPr>
        <w:tabs>
          <w:tab w:val="left" w:pos="426"/>
        </w:tabs>
        <w:spacing w:after="0" w:line="240" w:lineRule="auto"/>
        <w:ind w:left="0" w:firstLine="708"/>
        <w:contextualSpacing/>
        <w:rPr>
          <w:rFonts w:ascii="Times New Roman" w:hAnsi="Times New Roman" w:cs="Times New Roman"/>
          <w:sz w:val="24"/>
          <w:szCs w:val="24"/>
        </w:rPr>
      </w:pPr>
      <w:r w:rsidRPr="00E33135">
        <w:rPr>
          <w:rFonts w:ascii="Times New Roman" w:hAnsi="Times New Roman" w:cs="Times New Roman"/>
          <w:sz w:val="24"/>
          <w:szCs w:val="24"/>
        </w:rPr>
        <w:t>Гореликов, В. А. Целевые аудитории российских спортивных лиг / В. А. Гореликов // Маркетинг и маркетинговые исследования. – 2024. – № 1. – С. 66-74</w:t>
      </w:r>
    </w:p>
    <w:p w:rsidR="003D5CCB" w:rsidRPr="00E33135" w:rsidRDefault="003D5CCB" w:rsidP="00BA0C9B">
      <w:pPr>
        <w:tabs>
          <w:tab w:val="left" w:pos="426"/>
        </w:tabs>
        <w:spacing w:after="0" w:line="240" w:lineRule="auto"/>
        <w:contextualSpacing/>
        <w:rPr>
          <w:rFonts w:ascii="Times New Roman" w:hAnsi="Times New Roman" w:cs="Times New Roman"/>
          <w:sz w:val="24"/>
          <w:szCs w:val="24"/>
        </w:rPr>
      </w:pPr>
    </w:p>
    <w:sectPr w:rsidR="003D5CCB" w:rsidRPr="00E33135" w:rsidSect="000A2FDD">
      <w:footnotePr>
        <w:numRestart w:val="eachPage"/>
      </w:footnotePr>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ECA" w:rsidRDefault="00C35ECA" w:rsidP="00DD6234">
      <w:pPr>
        <w:spacing w:after="0" w:line="240" w:lineRule="auto"/>
      </w:pPr>
      <w:r>
        <w:separator/>
      </w:r>
    </w:p>
  </w:endnote>
  <w:endnote w:type="continuationSeparator" w:id="1">
    <w:p w:rsidR="00C35ECA" w:rsidRDefault="00C35ECA" w:rsidP="00DD6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ECA" w:rsidRDefault="00C35ECA" w:rsidP="00DD6234">
      <w:pPr>
        <w:spacing w:after="0" w:line="240" w:lineRule="auto"/>
      </w:pPr>
      <w:r>
        <w:separator/>
      </w:r>
    </w:p>
  </w:footnote>
  <w:footnote w:type="continuationSeparator" w:id="1">
    <w:p w:rsidR="00C35ECA" w:rsidRDefault="00C35ECA" w:rsidP="00DD6234">
      <w:pPr>
        <w:spacing w:after="0" w:line="240" w:lineRule="auto"/>
      </w:pPr>
      <w:r>
        <w:continuationSeparator/>
      </w:r>
    </w:p>
  </w:footnote>
  <w:footnote w:id="2">
    <w:p w:rsidR="00CB313E" w:rsidRPr="00BA0C9B" w:rsidRDefault="00CB313E">
      <w:pPr>
        <w:pStyle w:val="a8"/>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w:t>
      </w:r>
      <w:r w:rsidR="000A6D57" w:rsidRPr="00BA0C9B">
        <w:rPr>
          <w:rFonts w:ascii="Times New Roman" w:hAnsi="Times New Roman" w:cs="Times New Roman"/>
        </w:rPr>
        <w:t xml:space="preserve">Минаков, А. В. Финансовые и политические аспекты развития национальной платежной системы карт («Мир») / А. В. Минаков // Вестник Алтайской академии экономики и права. – 2024. – № 4-1. – С. 119-125. – </w:t>
      </w:r>
      <w:r w:rsidR="000A6D57" w:rsidRPr="00BA0C9B">
        <w:rPr>
          <w:rFonts w:ascii="Times New Roman" w:hAnsi="Times New Roman" w:cs="Times New Roman"/>
          <w:lang w:val="en-US"/>
        </w:rPr>
        <w:t>DOI</w:t>
      </w:r>
      <w:r w:rsidR="000A6D57" w:rsidRPr="00BA0C9B">
        <w:rPr>
          <w:rFonts w:ascii="Times New Roman" w:hAnsi="Times New Roman" w:cs="Times New Roman"/>
        </w:rPr>
        <w:t xml:space="preserve"> 10.17513/</w:t>
      </w:r>
      <w:r w:rsidR="000A6D57" w:rsidRPr="00BA0C9B">
        <w:rPr>
          <w:rFonts w:ascii="Times New Roman" w:hAnsi="Times New Roman" w:cs="Times New Roman"/>
          <w:lang w:val="en-US"/>
        </w:rPr>
        <w:t>vaael</w:t>
      </w:r>
      <w:r w:rsidR="004B0EEB" w:rsidRPr="00BA0C9B">
        <w:rPr>
          <w:rFonts w:ascii="Times New Roman" w:hAnsi="Times New Roman" w:cs="Times New Roman"/>
        </w:rPr>
        <w:t>.3339</w:t>
      </w:r>
    </w:p>
  </w:footnote>
  <w:footnote w:id="3">
    <w:p w:rsidR="000A6D57" w:rsidRPr="00BA0C9B" w:rsidRDefault="000A6D57">
      <w:pPr>
        <w:pStyle w:val="a8"/>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Петренко, Н. М. Национальная платежная система «Мир»: достоинства и недостатки / Н. М. Петренко, С. Г. Карамышева // </w:t>
      </w:r>
      <w:r w:rsidRPr="00BA0C9B">
        <w:rPr>
          <w:rFonts w:ascii="Times New Roman" w:hAnsi="Times New Roman" w:cs="Times New Roman"/>
          <w:lang w:val="en-US"/>
        </w:rPr>
        <w:t>Epomen</w:t>
      </w:r>
      <w:r w:rsidRPr="00BA0C9B">
        <w:rPr>
          <w:rFonts w:ascii="Times New Roman" w:hAnsi="Times New Roman" w:cs="Times New Roman"/>
        </w:rPr>
        <w:t xml:space="preserve">. </w:t>
      </w:r>
      <w:r w:rsidRPr="00BA0C9B">
        <w:rPr>
          <w:rFonts w:ascii="Times New Roman" w:hAnsi="Times New Roman" w:cs="Times New Roman"/>
          <w:lang w:val="en-US"/>
        </w:rPr>
        <w:t>Global</w:t>
      </w:r>
      <w:r w:rsidRPr="00BA0C9B">
        <w:rPr>
          <w:rFonts w:ascii="Times New Roman" w:hAnsi="Times New Roman" w:cs="Times New Roman"/>
        </w:rPr>
        <w:t>. – 2024.</w:t>
      </w:r>
      <w:r w:rsidR="004B0EEB" w:rsidRPr="00BA0C9B">
        <w:rPr>
          <w:rFonts w:ascii="Times New Roman" w:hAnsi="Times New Roman" w:cs="Times New Roman"/>
        </w:rPr>
        <w:t xml:space="preserve"> – № 45. – С. 153-159</w:t>
      </w:r>
    </w:p>
  </w:footnote>
  <w:footnote w:id="4">
    <w:p w:rsidR="000A6D57" w:rsidRPr="00BA0C9B" w:rsidRDefault="000A6D57">
      <w:pPr>
        <w:pStyle w:val="a8"/>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w:t>
      </w:r>
      <w:r w:rsidR="004B0EEB" w:rsidRPr="00BA0C9B">
        <w:rPr>
          <w:rFonts w:ascii="Times New Roman" w:hAnsi="Times New Roman" w:cs="Times New Roman"/>
        </w:rPr>
        <w:t>Поршнева, И. И. Направления развития платежной системы Российской Федерации в современных условиях / И. И. Поршнева // Вестник Алтайской академии экономики и права. – 2025. – № 3-1. – С. 130-135. – DOI 10.17513/vaael.4037</w:t>
      </w:r>
    </w:p>
  </w:footnote>
  <w:footnote w:id="5">
    <w:p w:rsidR="004B0EEB" w:rsidRPr="00BA0C9B" w:rsidRDefault="004B0EEB" w:rsidP="0052043B">
      <w:pPr>
        <w:tabs>
          <w:tab w:val="left" w:pos="426"/>
        </w:tabs>
        <w:spacing w:after="0" w:line="240" w:lineRule="auto"/>
        <w:contextualSpacing/>
        <w:rPr>
          <w:rFonts w:ascii="Times New Roman" w:hAnsi="Times New Roman" w:cs="Times New Roman"/>
          <w:sz w:val="20"/>
          <w:szCs w:val="20"/>
        </w:rPr>
      </w:pPr>
      <w:r w:rsidRPr="00BA0C9B">
        <w:rPr>
          <w:rStyle w:val="aa"/>
          <w:rFonts w:ascii="Times New Roman" w:hAnsi="Times New Roman" w:cs="Times New Roman"/>
          <w:sz w:val="20"/>
          <w:szCs w:val="20"/>
        </w:rPr>
        <w:footnoteRef/>
      </w:r>
      <w:r w:rsidRPr="00BA0C9B">
        <w:rPr>
          <w:rFonts w:ascii="Times New Roman" w:hAnsi="Times New Roman" w:cs="Times New Roman"/>
          <w:sz w:val="20"/>
          <w:szCs w:val="20"/>
        </w:rPr>
        <w:t xml:space="preserve"> </w:t>
      </w:r>
      <w:r w:rsidR="0052043B" w:rsidRPr="00BA0C9B">
        <w:rPr>
          <w:rFonts w:ascii="Times New Roman" w:hAnsi="Times New Roman" w:cs="Times New Roman"/>
          <w:sz w:val="20"/>
          <w:szCs w:val="20"/>
        </w:rPr>
        <w:t>Селиверстова, М. А. Интеграция бренда национальной системы платежных карт – Системы быстрых платежей в спортивные проекты, на примере активации в рамках спортивного фестиваля IRONSTAR / М. А. Селиверстова // Инновационные аспекты менеджмента и экономики в сфере физической культуры и спорта в России и за рубежом: Материалы IV Международной научно-практической конференции, Москва, 14 ноября 2025 года. – Москва: Российский университет спорта "ГЦОЛИФК", 2025. – С. 363-366.</w:t>
      </w:r>
    </w:p>
  </w:footnote>
  <w:footnote w:id="6">
    <w:p w:rsidR="0052043B" w:rsidRPr="00BA0C9B" w:rsidRDefault="0052043B">
      <w:pPr>
        <w:pStyle w:val="a8"/>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Тухугов, Я. Ш. Эффективная национальная платежная система в условиях развития цифровой экономики / Я. Ш. Тухугов, Р. В. Баташев // Экономика и бизнес: теория и практика. – 2024. – № 12-3(118). – С. 114-117. – </w:t>
      </w:r>
      <w:r w:rsidRPr="00BA0C9B">
        <w:rPr>
          <w:rFonts w:ascii="Times New Roman" w:hAnsi="Times New Roman" w:cs="Times New Roman"/>
          <w:lang w:val="en-US"/>
        </w:rPr>
        <w:t>DOI</w:t>
      </w:r>
      <w:r w:rsidRPr="00BA0C9B">
        <w:rPr>
          <w:rFonts w:ascii="Times New Roman" w:hAnsi="Times New Roman" w:cs="Times New Roman"/>
        </w:rPr>
        <w:t xml:space="preserve"> 10.24412/2411-0450-2024-12-3-114-117</w:t>
      </w:r>
    </w:p>
  </w:footnote>
  <w:footnote w:id="7">
    <w:p w:rsidR="000164A5" w:rsidRPr="00BA0C9B" w:rsidRDefault="000164A5">
      <w:pPr>
        <w:pStyle w:val="a8"/>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Гореликов, В. А. Спонсорство как возможность конкурировать в спорте / В. А. Гореликов // Современная конкуренция. – 2019. – Т. 13, № 4(76). – С. 46-57. – </w:t>
      </w:r>
      <w:r w:rsidRPr="00BA0C9B">
        <w:rPr>
          <w:rFonts w:ascii="Times New Roman" w:hAnsi="Times New Roman" w:cs="Times New Roman"/>
          <w:lang w:val="en-US"/>
        </w:rPr>
        <w:t>DOI</w:t>
      </w:r>
      <w:r w:rsidRPr="00BA0C9B">
        <w:rPr>
          <w:rFonts w:ascii="Times New Roman" w:hAnsi="Times New Roman" w:cs="Times New Roman"/>
        </w:rPr>
        <w:t xml:space="preserve"> 10.24411/1993-7598-2019-10403. </w:t>
      </w:r>
    </w:p>
  </w:footnote>
  <w:footnote w:id="8">
    <w:p w:rsidR="00C0596D" w:rsidRPr="00BA0C9B" w:rsidRDefault="00C0596D">
      <w:pPr>
        <w:pStyle w:val="a8"/>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Гореликов, В. А. Проблемы российского рынка спортивных правообладателей и приобретателей прав в спортивном спонсорстве / В. А. Гореликов, П. А. Барташ // Практический маркетинг. – 2025. – № 2(332). – С. 11-15. – </w:t>
      </w:r>
      <w:r w:rsidRPr="00BA0C9B">
        <w:rPr>
          <w:rFonts w:ascii="Times New Roman" w:hAnsi="Times New Roman" w:cs="Times New Roman"/>
          <w:lang w:val="en-US"/>
        </w:rPr>
        <w:t>DOI</w:t>
      </w:r>
      <w:r w:rsidRPr="00BA0C9B">
        <w:rPr>
          <w:rFonts w:ascii="Times New Roman" w:hAnsi="Times New Roman" w:cs="Times New Roman"/>
        </w:rPr>
        <w:t xml:space="preserve"> 10.244</w:t>
      </w:r>
      <w:r w:rsidR="00BA0C9B" w:rsidRPr="00BA0C9B">
        <w:rPr>
          <w:rFonts w:ascii="Times New Roman" w:hAnsi="Times New Roman" w:cs="Times New Roman"/>
        </w:rPr>
        <w:t>12/2071-3762-2025-2332-11-15.</w:t>
      </w:r>
    </w:p>
  </w:footnote>
  <w:footnote w:id="9">
    <w:p w:rsidR="00DD6234" w:rsidRPr="00BA0C9B" w:rsidRDefault="00DD6234" w:rsidP="00DD6234">
      <w:pPr>
        <w:pStyle w:val="a8"/>
        <w:jc w:val="both"/>
        <w:rPr>
          <w:rFonts w:ascii="Times New Roman" w:hAnsi="Times New Roman" w:cs="Times New Roman"/>
          <w:lang w:val="en-US"/>
        </w:rPr>
      </w:pPr>
      <w:r w:rsidRPr="00BA0C9B">
        <w:rPr>
          <w:rStyle w:val="aa"/>
          <w:rFonts w:ascii="Times New Roman" w:hAnsi="Times New Roman" w:cs="Times New Roman"/>
        </w:rPr>
        <w:footnoteRef/>
      </w:r>
      <w:r w:rsidRPr="00BA0C9B">
        <w:rPr>
          <w:rFonts w:ascii="Times New Roman" w:hAnsi="Times New Roman" w:cs="Times New Roman"/>
          <w:lang w:val="en-US"/>
        </w:rPr>
        <w:t xml:space="preserve"> Visa to end league-wide NFL sponsorship, eyes World Cup, LA28 push // [</w:t>
      </w:r>
      <w:r w:rsidRPr="00BA0C9B">
        <w:rPr>
          <w:rFonts w:ascii="Times New Roman" w:hAnsi="Times New Roman" w:cs="Times New Roman"/>
        </w:rPr>
        <w:t>Электронный</w:t>
      </w:r>
      <w:r w:rsidRPr="00BA0C9B">
        <w:rPr>
          <w:rFonts w:ascii="Times New Roman" w:hAnsi="Times New Roman" w:cs="Times New Roman"/>
          <w:lang w:val="en-US"/>
        </w:rPr>
        <w:t xml:space="preserve"> </w:t>
      </w:r>
      <w:r w:rsidRPr="00BA0C9B">
        <w:rPr>
          <w:rFonts w:ascii="Times New Roman" w:hAnsi="Times New Roman" w:cs="Times New Roman"/>
        </w:rPr>
        <w:t>ресурс</w:t>
      </w:r>
      <w:r w:rsidRPr="00BA0C9B">
        <w:rPr>
          <w:rFonts w:ascii="Times New Roman" w:hAnsi="Times New Roman" w:cs="Times New Roman"/>
          <w:lang w:val="en-US"/>
        </w:rPr>
        <w:t xml:space="preserve">] </w:t>
      </w:r>
      <w:r w:rsidR="00D139FD" w:rsidRPr="00BA0C9B">
        <w:rPr>
          <w:rFonts w:ascii="Times New Roman" w:hAnsi="Times New Roman" w:cs="Times New Roman"/>
          <w:lang w:val="en-US"/>
        </w:rPr>
        <w:t xml:space="preserve">- </w:t>
      </w:r>
      <w:r w:rsidRPr="00BA0C9B">
        <w:rPr>
          <w:rFonts w:ascii="Times New Roman" w:hAnsi="Times New Roman" w:cs="Times New Roman"/>
        </w:rPr>
        <w:t>Режим</w:t>
      </w:r>
      <w:r w:rsidRPr="00BA0C9B">
        <w:rPr>
          <w:rFonts w:ascii="Times New Roman" w:hAnsi="Times New Roman" w:cs="Times New Roman"/>
          <w:lang w:val="en-US"/>
        </w:rPr>
        <w:t xml:space="preserve"> </w:t>
      </w:r>
      <w:r w:rsidRPr="00BA0C9B">
        <w:rPr>
          <w:rFonts w:ascii="Times New Roman" w:hAnsi="Times New Roman" w:cs="Times New Roman"/>
        </w:rPr>
        <w:t>доступа</w:t>
      </w:r>
      <w:r w:rsidRPr="00BA0C9B">
        <w:rPr>
          <w:rFonts w:ascii="Times New Roman" w:hAnsi="Times New Roman" w:cs="Times New Roman"/>
          <w:lang w:val="en-US"/>
        </w:rPr>
        <w:t>: https://www.reuters.com/sports/visa-end-league-wide-nfl-sponsorship-eyes-world-cup-la28-push-2025-09-22/ (</w:t>
      </w:r>
      <w:r w:rsidRPr="00BA0C9B">
        <w:rPr>
          <w:rFonts w:ascii="Times New Roman" w:hAnsi="Times New Roman" w:cs="Times New Roman"/>
        </w:rPr>
        <w:t>дата</w:t>
      </w:r>
      <w:r w:rsidRPr="00BA0C9B">
        <w:rPr>
          <w:rFonts w:ascii="Times New Roman" w:hAnsi="Times New Roman" w:cs="Times New Roman"/>
          <w:lang w:val="en-US"/>
        </w:rPr>
        <w:t xml:space="preserve"> </w:t>
      </w:r>
      <w:r w:rsidRPr="00BA0C9B">
        <w:rPr>
          <w:rFonts w:ascii="Times New Roman" w:hAnsi="Times New Roman" w:cs="Times New Roman"/>
        </w:rPr>
        <w:t>обращения</w:t>
      </w:r>
      <w:r w:rsidRPr="00BA0C9B">
        <w:rPr>
          <w:rFonts w:ascii="Times New Roman" w:hAnsi="Times New Roman" w:cs="Times New Roman"/>
          <w:lang w:val="en-US"/>
        </w:rPr>
        <w:t>: 15.</w:t>
      </w:r>
      <w:r w:rsidR="00D139FD" w:rsidRPr="00BA0C9B">
        <w:rPr>
          <w:rFonts w:ascii="Times New Roman" w:hAnsi="Times New Roman" w:cs="Times New Roman"/>
          <w:lang w:val="en-US"/>
        </w:rPr>
        <w:t>12.</w:t>
      </w:r>
      <w:r w:rsidRPr="00BA0C9B">
        <w:rPr>
          <w:rFonts w:ascii="Times New Roman" w:hAnsi="Times New Roman" w:cs="Times New Roman"/>
          <w:lang w:val="en-US"/>
        </w:rPr>
        <w:t>202</w:t>
      </w:r>
      <w:r w:rsidR="00D139FD" w:rsidRPr="00BA0C9B">
        <w:rPr>
          <w:rFonts w:ascii="Times New Roman" w:hAnsi="Times New Roman" w:cs="Times New Roman"/>
          <w:lang w:val="en-US"/>
        </w:rPr>
        <w:t>5</w:t>
      </w:r>
      <w:r w:rsidRPr="00BA0C9B">
        <w:rPr>
          <w:rFonts w:ascii="Times New Roman" w:hAnsi="Times New Roman" w:cs="Times New Roman"/>
          <w:lang w:val="en-US"/>
        </w:rPr>
        <w:t>).</w:t>
      </w:r>
    </w:p>
  </w:footnote>
  <w:footnote w:id="10">
    <w:p w:rsidR="003173B0" w:rsidRPr="00BA0C9B" w:rsidRDefault="003173B0">
      <w:pPr>
        <w:pStyle w:val="a8"/>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w:t>
      </w:r>
      <w:r w:rsidR="00CE08BF" w:rsidRPr="00BA0C9B">
        <w:rPr>
          <w:rFonts w:ascii="Times New Roman" w:hAnsi="Times New Roman" w:cs="Times New Roman"/>
        </w:rPr>
        <w:t>Игровая платформа Roblox официально заблокирована в России</w:t>
      </w:r>
    </w:p>
  </w:footnote>
  <w:footnote w:id="11">
    <w:p w:rsidR="00DD6234" w:rsidRPr="00BA0C9B" w:rsidRDefault="00DD6234" w:rsidP="00DD6234">
      <w:pPr>
        <w:pStyle w:val="a8"/>
        <w:jc w:val="both"/>
        <w:rPr>
          <w:rFonts w:ascii="Times New Roman" w:hAnsi="Times New Roman" w:cs="Times New Roman"/>
          <w:lang w:val="en-US"/>
        </w:rPr>
      </w:pPr>
      <w:r w:rsidRPr="00BA0C9B">
        <w:rPr>
          <w:rStyle w:val="aa"/>
          <w:rFonts w:ascii="Times New Roman" w:hAnsi="Times New Roman" w:cs="Times New Roman"/>
        </w:rPr>
        <w:footnoteRef/>
      </w:r>
      <w:r w:rsidRPr="00BA0C9B">
        <w:rPr>
          <w:rFonts w:ascii="Times New Roman" w:hAnsi="Times New Roman" w:cs="Times New Roman"/>
          <w:lang w:val="en-US"/>
        </w:rPr>
        <w:t xml:space="preserve"> Mastercard renews long-standing partnership with Rugby World Cup [</w:t>
      </w:r>
      <w:r w:rsidRPr="00BA0C9B">
        <w:rPr>
          <w:rFonts w:ascii="Times New Roman" w:hAnsi="Times New Roman" w:cs="Times New Roman"/>
        </w:rPr>
        <w:t>Электронный</w:t>
      </w:r>
      <w:r w:rsidRPr="00BA0C9B">
        <w:rPr>
          <w:rFonts w:ascii="Times New Roman" w:hAnsi="Times New Roman" w:cs="Times New Roman"/>
          <w:lang w:val="en-US"/>
        </w:rPr>
        <w:t xml:space="preserve"> </w:t>
      </w:r>
      <w:r w:rsidRPr="00BA0C9B">
        <w:rPr>
          <w:rFonts w:ascii="Times New Roman" w:hAnsi="Times New Roman" w:cs="Times New Roman"/>
        </w:rPr>
        <w:t>ресурс</w:t>
      </w:r>
      <w:r w:rsidRPr="00BA0C9B">
        <w:rPr>
          <w:rFonts w:ascii="Times New Roman" w:hAnsi="Times New Roman" w:cs="Times New Roman"/>
          <w:lang w:val="en-US"/>
        </w:rPr>
        <w:t>]</w:t>
      </w:r>
      <w:r w:rsidR="00425CEA" w:rsidRPr="00BA0C9B">
        <w:rPr>
          <w:rFonts w:ascii="Times New Roman" w:hAnsi="Times New Roman" w:cs="Times New Roman"/>
          <w:lang w:val="en-US"/>
        </w:rPr>
        <w:t xml:space="preserve"> -</w:t>
      </w:r>
      <w:r w:rsidRPr="00BA0C9B">
        <w:rPr>
          <w:rFonts w:ascii="Times New Roman" w:hAnsi="Times New Roman" w:cs="Times New Roman"/>
          <w:lang w:val="en-US"/>
        </w:rPr>
        <w:t xml:space="preserve"> </w:t>
      </w:r>
      <w:r w:rsidRPr="00BA0C9B">
        <w:rPr>
          <w:rFonts w:ascii="Times New Roman" w:hAnsi="Times New Roman" w:cs="Times New Roman"/>
        </w:rPr>
        <w:t>Режим</w:t>
      </w:r>
      <w:r w:rsidRPr="00BA0C9B">
        <w:rPr>
          <w:rFonts w:ascii="Times New Roman" w:hAnsi="Times New Roman" w:cs="Times New Roman"/>
          <w:lang w:val="en-US"/>
        </w:rPr>
        <w:t xml:space="preserve"> </w:t>
      </w:r>
      <w:r w:rsidRPr="00BA0C9B">
        <w:rPr>
          <w:rFonts w:ascii="Times New Roman" w:hAnsi="Times New Roman" w:cs="Times New Roman"/>
        </w:rPr>
        <w:t>доступа</w:t>
      </w:r>
      <w:r w:rsidRPr="00BA0C9B">
        <w:rPr>
          <w:rFonts w:ascii="Times New Roman" w:hAnsi="Times New Roman" w:cs="Times New Roman"/>
          <w:lang w:val="en-US"/>
        </w:rPr>
        <w:t>: https://www.rugbyworldcup.com/news/619578/mastercard-renews-long-standing-partnership-with-rugby-world-cup (дата обращения: 21.</w:t>
      </w:r>
      <w:r w:rsidR="00EA33F9" w:rsidRPr="00BA0C9B">
        <w:rPr>
          <w:rFonts w:ascii="Times New Roman" w:hAnsi="Times New Roman" w:cs="Times New Roman"/>
          <w:lang w:val="en-US"/>
        </w:rPr>
        <w:t>12</w:t>
      </w:r>
      <w:r w:rsidRPr="00BA0C9B">
        <w:rPr>
          <w:rFonts w:ascii="Times New Roman" w:hAnsi="Times New Roman" w:cs="Times New Roman"/>
          <w:lang w:val="en-US"/>
        </w:rPr>
        <w:t>.202</w:t>
      </w:r>
      <w:r w:rsidR="00EA33F9" w:rsidRPr="00BA0C9B">
        <w:rPr>
          <w:rFonts w:ascii="Times New Roman" w:hAnsi="Times New Roman" w:cs="Times New Roman"/>
          <w:lang w:val="en-US"/>
        </w:rPr>
        <w:t>5</w:t>
      </w:r>
      <w:r w:rsidRPr="00BA0C9B">
        <w:rPr>
          <w:rFonts w:ascii="Times New Roman" w:hAnsi="Times New Roman" w:cs="Times New Roman"/>
          <w:lang w:val="en-US"/>
        </w:rPr>
        <w:t>).</w:t>
      </w:r>
    </w:p>
  </w:footnote>
  <w:footnote w:id="12">
    <w:p w:rsidR="00DD6234" w:rsidRPr="00BA0C9B" w:rsidRDefault="00DD6234" w:rsidP="00DD6234">
      <w:pPr>
        <w:pStyle w:val="a8"/>
        <w:jc w:val="both"/>
        <w:rPr>
          <w:rFonts w:ascii="Times New Roman" w:hAnsi="Times New Roman" w:cs="Times New Roman"/>
          <w:lang w:val="en-US"/>
        </w:rPr>
      </w:pPr>
      <w:r w:rsidRPr="00BA0C9B">
        <w:rPr>
          <w:rStyle w:val="aa"/>
          <w:rFonts w:ascii="Times New Roman" w:hAnsi="Times New Roman" w:cs="Times New Roman"/>
        </w:rPr>
        <w:footnoteRef/>
      </w:r>
      <w:r w:rsidRPr="00BA0C9B">
        <w:rPr>
          <w:rFonts w:ascii="Times New Roman" w:hAnsi="Times New Roman" w:cs="Times New Roman"/>
          <w:lang w:val="en-US"/>
        </w:rPr>
        <w:t xml:space="preserve"> Visa to end league-wide NFL sponsorsh</w:t>
      </w:r>
      <w:r w:rsidR="00425CEA" w:rsidRPr="00BA0C9B">
        <w:rPr>
          <w:rFonts w:ascii="Times New Roman" w:hAnsi="Times New Roman" w:cs="Times New Roman"/>
          <w:lang w:val="en-US"/>
        </w:rPr>
        <w:t>ip, eyes World Cup, LA28 push</w:t>
      </w:r>
      <w:r w:rsidRPr="00BA0C9B">
        <w:rPr>
          <w:rFonts w:ascii="Times New Roman" w:hAnsi="Times New Roman" w:cs="Times New Roman"/>
          <w:lang w:val="en-US"/>
        </w:rPr>
        <w:t xml:space="preserve"> [</w:t>
      </w:r>
      <w:r w:rsidRPr="00BA0C9B">
        <w:rPr>
          <w:rFonts w:ascii="Times New Roman" w:hAnsi="Times New Roman" w:cs="Times New Roman"/>
        </w:rPr>
        <w:t>Электронный</w:t>
      </w:r>
      <w:r w:rsidRPr="00BA0C9B">
        <w:rPr>
          <w:rFonts w:ascii="Times New Roman" w:hAnsi="Times New Roman" w:cs="Times New Roman"/>
          <w:lang w:val="en-US"/>
        </w:rPr>
        <w:t xml:space="preserve"> </w:t>
      </w:r>
      <w:r w:rsidRPr="00BA0C9B">
        <w:rPr>
          <w:rFonts w:ascii="Times New Roman" w:hAnsi="Times New Roman" w:cs="Times New Roman"/>
        </w:rPr>
        <w:t>ресурс</w:t>
      </w:r>
      <w:r w:rsidRPr="00BA0C9B">
        <w:rPr>
          <w:rFonts w:ascii="Times New Roman" w:hAnsi="Times New Roman" w:cs="Times New Roman"/>
          <w:lang w:val="en-US"/>
        </w:rPr>
        <w:t xml:space="preserve">] </w:t>
      </w:r>
      <w:r w:rsidR="00EA33F9" w:rsidRPr="00BA0C9B">
        <w:rPr>
          <w:rFonts w:ascii="Times New Roman" w:hAnsi="Times New Roman" w:cs="Times New Roman"/>
          <w:lang w:val="en-US"/>
        </w:rPr>
        <w:t xml:space="preserve">- </w:t>
      </w:r>
      <w:r w:rsidRPr="00BA0C9B">
        <w:rPr>
          <w:rFonts w:ascii="Times New Roman" w:hAnsi="Times New Roman" w:cs="Times New Roman"/>
        </w:rPr>
        <w:t>Режим</w:t>
      </w:r>
      <w:r w:rsidRPr="00BA0C9B">
        <w:rPr>
          <w:rFonts w:ascii="Times New Roman" w:hAnsi="Times New Roman" w:cs="Times New Roman"/>
          <w:lang w:val="en-US"/>
        </w:rPr>
        <w:t xml:space="preserve"> </w:t>
      </w:r>
      <w:r w:rsidRPr="00BA0C9B">
        <w:rPr>
          <w:rFonts w:ascii="Times New Roman" w:hAnsi="Times New Roman" w:cs="Times New Roman"/>
        </w:rPr>
        <w:t>доступа</w:t>
      </w:r>
      <w:r w:rsidRPr="00BA0C9B">
        <w:rPr>
          <w:rFonts w:ascii="Times New Roman" w:hAnsi="Times New Roman" w:cs="Times New Roman"/>
          <w:lang w:val="en-US"/>
        </w:rPr>
        <w:t>: https://www.reuters.com/sports/visa-end-league-wide-nfl-sponsorship-eyes-world-cup-la28-push-2025-09-22/ (дата обращения: 15.</w:t>
      </w:r>
      <w:r w:rsidR="00EA33F9" w:rsidRPr="00BA0C9B">
        <w:rPr>
          <w:rFonts w:ascii="Times New Roman" w:hAnsi="Times New Roman" w:cs="Times New Roman"/>
          <w:lang w:val="en-US"/>
        </w:rPr>
        <w:t>12</w:t>
      </w:r>
      <w:r w:rsidRPr="00BA0C9B">
        <w:rPr>
          <w:rFonts w:ascii="Times New Roman" w:hAnsi="Times New Roman" w:cs="Times New Roman"/>
          <w:lang w:val="en-US"/>
        </w:rPr>
        <w:t>.202</w:t>
      </w:r>
      <w:r w:rsidR="00EA33F9" w:rsidRPr="00BA0C9B">
        <w:rPr>
          <w:rFonts w:ascii="Times New Roman" w:hAnsi="Times New Roman" w:cs="Times New Roman"/>
          <w:lang w:val="en-US"/>
        </w:rPr>
        <w:t>5</w:t>
      </w:r>
      <w:r w:rsidRPr="00BA0C9B">
        <w:rPr>
          <w:rFonts w:ascii="Times New Roman" w:hAnsi="Times New Roman" w:cs="Times New Roman"/>
          <w:lang w:val="en-US"/>
        </w:rPr>
        <w:t>).</w:t>
      </w:r>
    </w:p>
  </w:footnote>
  <w:footnote w:id="13">
    <w:p w:rsidR="00DD6234" w:rsidRPr="00BA0C9B" w:rsidRDefault="00DD6234" w:rsidP="00DD6234">
      <w:pPr>
        <w:pStyle w:val="a8"/>
        <w:jc w:val="both"/>
        <w:rPr>
          <w:rFonts w:ascii="Times New Roman" w:hAnsi="Times New Roman" w:cs="Times New Roman"/>
          <w:lang w:val="en-US"/>
        </w:rPr>
      </w:pPr>
      <w:r w:rsidRPr="00BA0C9B">
        <w:rPr>
          <w:rStyle w:val="aa"/>
          <w:rFonts w:ascii="Times New Roman" w:hAnsi="Times New Roman" w:cs="Times New Roman"/>
        </w:rPr>
        <w:footnoteRef/>
      </w:r>
      <w:r w:rsidRPr="00BA0C9B">
        <w:rPr>
          <w:rFonts w:ascii="Times New Roman" w:hAnsi="Times New Roman" w:cs="Times New Roman"/>
          <w:lang w:val="en-US"/>
        </w:rPr>
        <w:t xml:space="preserve"> UnionPay gives a boost with $1m sponsorship, free hot-air balloon rides [</w:t>
      </w:r>
      <w:r w:rsidRPr="00BA0C9B">
        <w:rPr>
          <w:rFonts w:ascii="Times New Roman" w:hAnsi="Times New Roman" w:cs="Times New Roman"/>
        </w:rPr>
        <w:t>Электронный</w:t>
      </w:r>
      <w:r w:rsidRPr="00BA0C9B">
        <w:rPr>
          <w:rFonts w:ascii="Times New Roman" w:hAnsi="Times New Roman" w:cs="Times New Roman"/>
          <w:lang w:val="en-US"/>
        </w:rPr>
        <w:t xml:space="preserve"> </w:t>
      </w:r>
      <w:r w:rsidRPr="00BA0C9B">
        <w:rPr>
          <w:rFonts w:ascii="Times New Roman" w:hAnsi="Times New Roman" w:cs="Times New Roman"/>
        </w:rPr>
        <w:t>ресурс</w:t>
      </w:r>
      <w:r w:rsidRPr="00BA0C9B">
        <w:rPr>
          <w:rFonts w:ascii="Times New Roman" w:hAnsi="Times New Roman" w:cs="Times New Roman"/>
          <w:lang w:val="en-US"/>
        </w:rPr>
        <w:t xml:space="preserve">] </w:t>
      </w:r>
      <w:r w:rsidR="00526DB8" w:rsidRPr="00BA0C9B">
        <w:rPr>
          <w:rFonts w:ascii="Times New Roman" w:hAnsi="Times New Roman" w:cs="Times New Roman"/>
          <w:lang w:val="en-US"/>
        </w:rPr>
        <w:t xml:space="preserve">- </w:t>
      </w:r>
      <w:r w:rsidRPr="00BA0C9B">
        <w:rPr>
          <w:rFonts w:ascii="Times New Roman" w:hAnsi="Times New Roman" w:cs="Times New Roman"/>
        </w:rPr>
        <w:t>Режим</w:t>
      </w:r>
      <w:r w:rsidRPr="00BA0C9B">
        <w:rPr>
          <w:rFonts w:ascii="Times New Roman" w:hAnsi="Times New Roman" w:cs="Times New Roman"/>
          <w:lang w:val="en-US"/>
        </w:rPr>
        <w:t xml:space="preserve"> </w:t>
      </w:r>
      <w:r w:rsidRPr="00BA0C9B">
        <w:rPr>
          <w:rFonts w:ascii="Times New Roman" w:hAnsi="Times New Roman" w:cs="Times New Roman"/>
        </w:rPr>
        <w:t>доступа</w:t>
      </w:r>
      <w:r w:rsidRPr="00BA0C9B">
        <w:rPr>
          <w:rFonts w:ascii="Times New Roman" w:hAnsi="Times New Roman" w:cs="Times New Roman"/>
          <w:lang w:val="en-US"/>
        </w:rPr>
        <w:t>: https://www.straitstimes.com/sport/unionpay-gives-a-boost-with-1m-sponsorship-free-hot-air-balloon-rides (дата обращения: 15.</w:t>
      </w:r>
      <w:r w:rsidR="00526DB8" w:rsidRPr="00BA0C9B">
        <w:rPr>
          <w:rFonts w:ascii="Times New Roman" w:hAnsi="Times New Roman" w:cs="Times New Roman"/>
          <w:lang w:val="en-US"/>
        </w:rPr>
        <w:t>12</w:t>
      </w:r>
      <w:r w:rsidRPr="00BA0C9B">
        <w:rPr>
          <w:rFonts w:ascii="Times New Roman" w:hAnsi="Times New Roman" w:cs="Times New Roman"/>
          <w:lang w:val="en-US"/>
        </w:rPr>
        <w:t>.202</w:t>
      </w:r>
      <w:r w:rsidR="00526DB8" w:rsidRPr="00BA0C9B">
        <w:rPr>
          <w:rFonts w:ascii="Times New Roman" w:hAnsi="Times New Roman" w:cs="Times New Roman"/>
          <w:lang w:val="en-US"/>
        </w:rPr>
        <w:t>5</w:t>
      </w:r>
      <w:r w:rsidRPr="00BA0C9B">
        <w:rPr>
          <w:rFonts w:ascii="Times New Roman" w:hAnsi="Times New Roman" w:cs="Times New Roman"/>
          <w:lang w:val="en-US"/>
        </w:rPr>
        <w:t>).</w:t>
      </w:r>
    </w:p>
  </w:footnote>
  <w:footnote w:id="14">
    <w:p w:rsidR="00E82DF2" w:rsidRPr="00BA0C9B" w:rsidRDefault="00E82DF2">
      <w:pPr>
        <w:pStyle w:val="a8"/>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Гореликов, В. А. Целевые аудитории российских спортивных лиг / В. А. Гореликов // Маркетинг и маркетинговые исследования. – 2024. – № 1. – С. 66-74</w:t>
      </w:r>
    </w:p>
  </w:footnote>
  <w:footnote w:id="15">
    <w:p w:rsidR="00DD6234" w:rsidRPr="00BA0C9B" w:rsidRDefault="00DD6234" w:rsidP="00DD6234">
      <w:pPr>
        <w:pStyle w:val="a8"/>
        <w:jc w:val="both"/>
        <w:rPr>
          <w:rFonts w:ascii="Times New Roman" w:hAnsi="Times New Roman" w:cs="Times New Roman"/>
        </w:rPr>
      </w:pPr>
      <w:r w:rsidRPr="00BA0C9B">
        <w:rPr>
          <w:rStyle w:val="aa"/>
          <w:rFonts w:ascii="Times New Roman" w:hAnsi="Times New Roman" w:cs="Times New Roman"/>
        </w:rPr>
        <w:footnoteRef/>
      </w:r>
      <w:r w:rsidRPr="00BA0C9B">
        <w:rPr>
          <w:rFonts w:ascii="Times New Roman" w:hAnsi="Times New Roman" w:cs="Times New Roman"/>
        </w:rPr>
        <w:t xml:space="preserve"> Visa оценила траты иностранных болельщиков на ЧМ-2018 // [Электронный ресурс] Режим доступа: https://www.vedomosti.ru/finance/news/2018/06/28/774050-trati-bolelschikov-na-chm?from=copy_text (дата обращения: 21.01.2026).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C1604"/>
    <w:multiLevelType w:val="hybridMultilevel"/>
    <w:tmpl w:val="737A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531A5"/>
    <w:multiLevelType w:val="multilevel"/>
    <w:tmpl w:val="8CAAEB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7C0B12"/>
    <w:multiLevelType w:val="multilevel"/>
    <w:tmpl w:val="E648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4127ED"/>
    <w:multiLevelType w:val="hybridMultilevel"/>
    <w:tmpl w:val="B96AAF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0440C07"/>
    <w:multiLevelType w:val="hybridMultilevel"/>
    <w:tmpl w:val="558092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41971FC"/>
    <w:multiLevelType w:val="multilevel"/>
    <w:tmpl w:val="514E76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F56184"/>
    <w:rsid w:val="00015A45"/>
    <w:rsid w:val="000164A5"/>
    <w:rsid w:val="00020AE6"/>
    <w:rsid w:val="00040D13"/>
    <w:rsid w:val="00043161"/>
    <w:rsid w:val="000461BB"/>
    <w:rsid w:val="000624BE"/>
    <w:rsid w:val="00064EB4"/>
    <w:rsid w:val="00072886"/>
    <w:rsid w:val="0007389F"/>
    <w:rsid w:val="000815ED"/>
    <w:rsid w:val="00094AAD"/>
    <w:rsid w:val="000A0345"/>
    <w:rsid w:val="000A2FDD"/>
    <w:rsid w:val="000A6D57"/>
    <w:rsid w:val="000D18D7"/>
    <w:rsid w:val="000F6DF9"/>
    <w:rsid w:val="001136C5"/>
    <w:rsid w:val="00115E7C"/>
    <w:rsid w:val="00132EE4"/>
    <w:rsid w:val="00147705"/>
    <w:rsid w:val="00167FF8"/>
    <w:rsid w:val="00193E95"/>
    <w:rsid w:val="00196158"/>
    <w:rsid w:val="001B6D02"/>
    <w:rsid w:val="001C2E00"/>
    <w:rsid w:val="001D4A3A"/>
    <w:rsid w:val="001D7419"/>
    <w:rsid w:val="001E7FD5"/>
    <w:rsid w:val="00215D67"/>
    <w:rsid w:val="0021781B"/>
    <w:rsid w:val="00232D4C"/>
    <w:rsid w:val="002B2CC9"/>
    <w:rsid w:val="002C413B"/>
    <w:rsid w:val="002D3D6B"/>
    <w:rsid w:val="002D5F93"/>
    <w:rsid w:val="002E11A1"/>
    <w:rsid w:val="002E7348"/>
    <w:rsid w:val="002F63AD"/>
    <w:rsid w:val="00301A00"/>
    <w:rsid w:val="00303CDE"/>
    <w:rsid w:val="003173B0"/>
    <w:rsid w:val="00342253"/>
    <w:rsid w:val="00355F69"/>
    <w:rsid w:val="00366E7C"/>
    <w:rsid w:val="003A089D"/>
    <w:rsid w:val="003B280F"/>
    <w:rsid w:val="003C2AA3"/>
    <w:rsid w:val="003D0163"/>
    <w:rsid w:val="003D5394"/>
    <w:rsid w:val="003D5CCB"/>
    <w:rsid w:val="003E1AAD"/>
    <w:rsid w:val="0041718F"/>
    <w:rsid w:val="00422414"/>
    <w:rsid w:val="00425CEA"/>
    <w:rsid w:val="00441880"/>
    <w:rsid w:val="00446269"/>
    <w:rsid w:val="00446BC7"/>
    <w:rsid w:val="00467A92"/>
    <w:rsid w:val="004A70DC"/>
    <w:rsid w:val="004B0EEB"/>
    <w:rsid w:val="004C2185"/>
    <w:rsid w:val="004E2519"/>
    <w:rsid w:val="005041AC"/>
    <w:rsid w:val="0052043B"/>
    <w:rsid w:val="00526DB8"/>
    <w:rsid w:val="00543E0E"/>
    <w:rsid w:val="00572421"/>
    <w:rsid w:val="00596439"/>
    <w:rsid w:val="005B04A8"/>
    <w:rsid w:val="005C12E1"/>
    <w:rsid w:val="005E5D45"/>
    <w:rsid w:val="005F1A4F"/>
    <w:rsid w:val="00601137"/>
    <w:rsid w:val="0060288E"/>
    <w:rsid w:val="006411B0"/>
    <w:rsid w:val="006501D1"/>
    <w:rsid w:val="0066274C"/>
    <w:rsid w:val="006962EC"/>
    <w:rsid w:val="006A5612"/>
    <w:rsid w:val="006A607D"/>
    <w:rsid w:val="006A746D"/>
    <w:rsid w:val="006C07E6"/>
    <w:rsid w:val="006D4D53"/>
    <w:rsid w:val="007028DA"/>
    <w:rsid w:val="0072397E"/>
    <w:rsid w:val="007338BB"/>
    <w:rsid w:val="00737F88"/>
    <w:rsid w:val="00787C1F"/>
    <w:rsid w:val="007B5E9E"/>
    <w:rsid w:val="007E3B37"/>
    <w:rsid w:val="007F0414"/>
    <w:rsid w:val="0082675F"/>
    <w:rsid w:val="00861767"/>
    <w:rsid w:val="00866953"/>
    <w:rsid w:val="00871495"/>
    <w:rsid w:val="0088756C"/>
    <w:rsid w:val="008D1435"/>
    <w:rsid w:val="008D3F1F"/>
    <w:rsid w:val="008E39A4"/>
    <w:rsid w:val="008E65E7"/>
    <w:rsid w:val="008F2911"/>
    <w:rsid w:val="009331C0"/>
    <w:rsid w:val="00946348"/>
    <w:rsid w:val="009513E3"/>
    <w:rsid w:val="00963F41"/>
    <w:rsid w:val="00975DBA"/>
    <w:rsid w:val="009B43F8"/>
    <w:rsid w:val="009B5368"/>
    <w:rsid w:val="009C170B"/>
    <w:rsid w:val="009C30AC"/>
    <w:rsid w:val="009F2E8B"/>
    <w:rsid w:val="00A0027F"/>
    <w:rsid w:val="00A035D6"/>
    <w:rsid w:val="00A32641"/>
    <w:rsid w:val="00A34BC9"/>
    <w:rsid w:val="00A72015"/>
    <w:rsid w:val="00A856ED"/>
    <w:rsid w:val="00A924A1"/>
    <w:rsid w:val="00A97AD9"/>
    <w:rsid w:val="00AF00B7"/>
    <w:rsid w:val="00B00D3F"/>
    <w:rsid w:val="00B05B61"/>
    <w:rsid w:val="00B239BC"/>
    <w:rsid w:val="00B53996"/>
    <w:rsid w:val="00B70627"/>
    <w:rsid w:val="00B7794C"/>
    <w:rsid w:val="00B967A5"/>
    <w:rsid w:val="00BA0C9B"/>
    <w:rsid w:val="00BA61BF"/>
    <w:rsid w:val="00BC7081"/>
    <w:rsid w:val="00BD5B1C"/>
    <w:rsid w:val="00BD7F01"/>
    <w:rsid w:val="00BF315D"/>
    <w:rsid w:val="00C0596D"/>
    <w:rsid w:val="00C15BB2"/>
    <w:rsid w:val="00C20C65"/>
    <w:rsid w:val="00C35306"/>
    <w:rsid w:val="00C35ECA"/>
    <w:rsid w:val="00C45C67"/>
    <w:rsid w:val="00C61128"/>
    <w:rsid w:val="00C64B63"/>
    <w:rsid w:val="00C652B2"/>
    <w:rsid w:val="00C6653D"/>
    <w:rsid w:val="00CA2393"/>
    <w:rsid w:val="00CB313E"/>
    <w:rsid w:val="00CC52FD"/>
    <w:rsid w:val="00CD4A59"/>
    <w:rsid w:val="00CE08BF"/>
    <w:rsid w:val="00CE0942"/>
    <w:rsid w:val="00CF2ED2"/>
    <w:rsid w:val="00D11457"/>
    <w:rsid w:val="00D139FD"/>
    <w:rsid w:val="00D413EC"/>
    <w:rsid w:val="00D57BFE"/>
    <w:rsid w:val="00D65149"/>
    <w:rsid w:val="00D84ADF"/>
    <w:rsid w:val="00DA2560"/>
    <w:rsid w:val="00DB7EE5"/>
    <w:rsid w:val="00DD6234"/>
    <w:rsid w:val="00E131A0"/>
    <w:rsid w:val="00E25580"/>
    <w:rsid w:val="00E33135"/>
    <w:rsid w:val="00E44357"/>
    <w:rsid w:val="00E544CC"/>
    <w:rsid w:val="00E62784"/>
    <w:rsid w:val="00E82DF2"/>
    <w:rsid w:val="00EA33F9"/>
    <w:rsid w:val="00ED1156"/>
    <w:rsid w:val="00EE2275"/>
    <w:rsid w:val="00F02909"/>
    <w:rsid w:val="00F36389"/>
    <w:rsid w:val="00F366C6"/>
    <w:rsid w:val="00F52DF8"/>
    <w:rsid w:val="00F56184"/>
    <w:rsid w:val="00F569CF"/>
    <w:rsid w:val="00F72262"/>
    <w:rsid w:val="00FA2642"/>
    <w:rsid w:val="00FA3F9C"/>
    <w:rsid w:val="00FB4508"/>
    <w:rsid w:val="00FC067E"/>
    <w:rsid w:val="00FC30E5"/>
    <w:rsid w:val="00FC7AFF"/>
    <w:rsid w:val="00FD7BE5"/>
    <w:rsid w:val="00FE4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E7C"/>
  </w:style>
  <w:style w:type="paragraph" w:styleId="2">
    <w:name w:val="heading 2"/>
    <w:basedOn w:val="a"/>
    <w:next w:val="a"/>
    <w:link w:val="20"/>
    <w:uiPriority w:val="9"/>
    <w:semiHidden/>
    <w:unhideWhenUsed/>
    <w:qFormat/>
    <w:rsid w:val="00DD62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70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A70DC"/>
    <w:rPr>
      <w:rFonts w:ascii="Segoe UI" w:hAnsi="Segoe UI" w:cs="Segoe UI"/>
      <w:sz w:val="18"/>
      <w:szCs w:val="18"/>
    </w:rPr>
  </w:style>
  <w:style w:type="paragraph" w:styleId="a5">
    <w:name w:val="List Paragraph"/>
    <w:basedOn w:val="a"/>
    <w:uiPriority w:val="34"/>
    <w:qFormat/>
    <w:rsid w:val="004A70DC"/>
    <w:pPr>
      <w:ind w:left="720"/>
      <w:contextualSpacing/>
    </w:pPr>
  </w:style>
  <w:style w:type="character" w:styleId="a6">
    <w:name w:val="Hyperlink"/>
    <w:basedOn w:val="a0"/>
    <w:uiPriority w:val="99"/>
    <w:unhideWhenUsed/>
    <w:rsid w:val="003D0163"/>
    <w:rPr>
      <w:color w:val="0563C1" w:themeColor="hyperlink"/>
      <w:u w:val="single"/>
    </w:rPr>
  </w:style>
  <w:style w:type="character" w:styleId="a7">
    <w:name w:val="FollowedHyperlink"/>
    <w:basedOn w:val="a0"/>
    <w:uiPriority w:val="99"/>
    <w:semiHidden/>
    <w:unhideWhenUsed/>
    <w:rsid w:val="00C64B63"/>
    <w:rPr>
      <w:color w:val="954F72" w:themeColor="followedHyperlink"/>
      <w:u w:val="single"/>
    </w:rPr>
  </w:style>
  <w:style w:type="character" w:customStyle="1" w:styleId="20">
    <w:name w:val="Заголовок 2 Знак"/>
    <w:basedOn w:val="a0"/>
    <w:link w:val="2"/>
    <w:uiPriority w:val="9"/>
    <w:semiHidden/>
    <w:rsid w:val="00DD6234"/>
    <w:rPr>
      <w:rFonts w:asciiTheme="majorHAnsi" w:eastAsiaTheme="majorEastAsia" w:hAnsiTheme="majorHAnsi" w:cstheme="majorBidi"/>
      <w:color w:val="2E74B5" w:themeColor="accent1" w:themeShade="BF"/>
      <w:sz w:val="26"/>
      <w:szCs w:val="26"/>
    </w:rPr>
  </w:style>
  <w:style w:type="paragraph" w:customStyle="1" w:styleId="my-2">
    <w:name w:val="my-2"/>
    <w:basedOn w:val="a"/>
    <w:rsid w:val="00DD6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line-flex">
    <w:name w:val="inline-flex"/>
    <w:basedOn w:val="a0"/>
    <w:rsid w:val="00DD6234"/>
  </w:style>
  <w:style w:type="character" w:customStyle="1" w:styleId="ypks7kbdpwfgdykd3qb9">
    <w:name w:val="ypks7kbdpwfgdykd3qb9"/>
    <w:basedOn w:val="a0"/>
    <w:rsid w:val="00DD6234"/>
  </w:style>
  <w:style w:type="paragraph" w:styleId="a8">
    <w:name w:val="footnote text"/>
    <w:basedOn w:val="a"/>
    <w:link w:val="a9"/>
    <w:uiPriority w:val="99"/>
    <w:semiHidden/>
    <w:unhideWhenUsed/>
    <w:rsid w:val="00DD6234"/>
    <w:pPr>
      <w:spacing w:after="0" w:line="240" w:lineRule="auto"/>
    </w:pPr>
    <w:rPr>
      <w:sz w:val="20"/>
      <w:szCs w:val="20"/>
    </w:rPr>
  </w:style>
  <w:style w:type="character" w:customStyle="1" w:styleId="a9">
    <w:name w:val="Текст сноски Знак"/>
    <w:basedOn w:val="a0"/>
    <w:link w:val="a8"/>
    <w:uiPriority w:val="99"/>
    <w:semiHidden/>
    <w:rsid w:val="00DD6234"/>
    <w:rPr>
      <w:sz w:val="20"/>
      <w:szCs w:val="20"/>
    </w:rPr>
  </w:style>
  <w:style w:type="character" w:styleId="aa">
    <w:name w:val="footnote reference"/>
    <w:basedOn w:val="a0"/>
    <w:uiPriority w:val="99"/>
    <w:semiHidden/>
    <w:unhideWhenUsed/>
    <w:rsid w:val="00DD6234"/>
    <w:rPr>
      <w:vertAlign w:val="superscript"/>
    </w:rPr>
  </w:style>
</w:styles>
</file>

<file path=word/webSettings.xml><?xml version="1.0" encoding="utf-8"?>
<w:webSettings xmlns:r="http://schemas.openxmlformats.org/officeDocument/2006/relationships" xmlns:w="http://schemas.openxmlformats.org/wordprocessingml/2006/main">
  <w:divs>
    <w:div w:id="174154648">
      <w:bodyDiv w:val="1"/>
      <w:marLeft w:val="0"/>
      <w:marRight w:val="0"/>
      <w:marTop w:val="0"/>
      <w:marBottom w:val="0"/>
      <w:divBdr>
        <w:top w:val="none" w:sz="0" w:space="0" w:color="auto"/>
        <w:left w:val="none" w:sz="0" w:space="0" w:color="auto"/>
        <w:bottom w:val="none" w:sz="0" w:space="0" w:color="auto"/>
        <w:right w:val="none" w:sz="0" w:space="0" w:color="auto"/>
      </w:divBdr>
    </w:div>
    <w:div w:id="9595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y.savula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rcid.org/0009-0005-1111-7989" TargetMode="External"/><Relationship Id="rId4" Type="http://schemas.openxmlformats.org/officeDocument/2006/relationships/settings" Target="settings.xml"/><Relationship Id="rId9" Type="http://schemas.openxmlformats.org/officeDocument/2006/relationships/hyperlink" Target="mailto:maria7spor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13F8-3F72-490C-8AF2-505D3BF8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Гореликов Валерий</dc:creator>
  <cp:keywords/>
  <dc:description/>
  <cp:lastModifiedBy>Пользователь Windows</cp:lastModifiedBy>
  <cp:revision>34</cp:revision>
  <cp:lastPrinted>2026-01-23T12:59:00Z</cp:lastPrinted>
  <dcterms:created xsi:type="dcterms:W3CDTF">2026-01-27T06:43:00Z</dcterms:created>
  <dcterms:modified xsi:type="dcterms:W3CDTF">2026-02-13T20:21:00Z</dcterms:modified>
</cp:coreProperties>
</file>